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With close, the open-to-close return the variance baselines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close-to-close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rPr>
          <w:rFonts w:ascii="Calibri" w:hAnsi="Calibri"/>
          <w:color w:val="111111"/>
          <w:sz w:val="22"/>
        </w:rPr>
        <w:t xml:space="preserve">The gate also enters training, as a weight rather than a partition: every expert sees every window, weighted by its own gate, so expert </w:t>
      </w:r>
      <w:r>
        <w:rPr>
          <w:rFonts w:ascii="Calibri" w:hAnsi="Calibri"/>
          <w:i/>
          <w:color w:val="111111"/>
          <w:sz w:val="22"/>
        </w:rPr>
        <w:t>k</w:t>
      </w:r>
      <w:r>
        <w:rPr>
          <w:rFonts w:ascii="Calibri" w:hAnsi="Calibri"/>
          <w:color w:val="111111"/>
          <w:sz w:val="22"/>
        </w:rPr>
        <w:t xml:space="preserve"> minimises</w:t>
      </w:r>
    </w:p>
    <w:p>
      <w:pPr>
        <w:tabs>
          <w:tab w:pos="4513" w:val="center"/>
          <w:tab w:pos="9026" w:val="right"/>
        </w:tabs>
        <w:spacing w:after="220" w:line="320" w:lineRule="auto"/>
      </w:pPr>
      <w:r>
        <w:rPr>
          <w:sz w:val="22"/>
        </w:rP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rPr>
          <w:rFonts w:ascii="Calibri" w:hAnsi="Calibri"/>
          <w:sz w:val="22"/>
        </w:rPr>
        <w:tab/>
        <w:t>(3.3b)</w:t>
      </w:r>
    </w:p>
    <w:p>
      <w:pPr>
        <w:spacing w:after="160" w:line="320" w:lineRule="auto"/>
        <w:jc w:val="both"/>
      </w:pPr>
      <w:r>
        <w:rPr>
          <w:rFonts w:ascii="Calibri" w:hAnsi="Calibri"/>
          <w:color w:val="111111"/>
          <w:sz w:val="22"/>
        </w:rPr>
        <w:t xml:space="preserve">where </w:t>
      </w:r>
      <w:r>
        <w:rPr>
          <w:rFonts w:ascii="Calibri" w:hAnsi="Calibri"/>
          <w:i/>
          <w:color w:val="111111"/>
          <w:sz w:val="22"/>
        </w:rPr>
        <w:t>J</w:t>
      </w:r>
      <w:r>
        <w:rPr>
          <w:rFonts w:ascii="Calibri" w:hAnsi="Calibri"/>
          <w:i/>
          <w:color w:val="111111"/>
          <w:sz w:val="19"/>
          <w:vertAlign w:val="subscript"/>
        </w:rPr>
        <w:t>k</w:t>
      </w:r>
      <w:r>
        <w:rPr>
          <w:rFonts w:ascii="Calibri" w:hAnsi="Calibri"/>
          <w:color w:val="111111"/>
          <w:sz w:val="22"/>
        </w:rPr>
        <w:t xml:space="preserve"> is expert </w:t>
      </w:r>
      <w:r>
        <w:rPr>
          <w:rFonts w:ascii="Calibri" w:hAnsi="Calibri"/>
          <w:i/>
          <w:color w:val="111111"/>
          <w:sz w:val="22"/>
        </w:rPr>
        <w:t>k</w:t>
      </w:r>
      <w:r>
        <w:rPr>
          <w:rFonts w:ascii="Calibri" w:hAnsi="Calibri"/>
          <w:color w:val="111111"/>
          <w:sz w:val="22"/>
        </w:rPr>
        <w:t xml:space="preserve">'s training objective, </w:t>
      </w:r>
      <w:r>
        <w:rPr>
          <w:rFonts w:ascii="Calibri" w:hAnsi="Calibri"/>
          <w:i/>
          <w:color w:val="111111"/>
          <w:sz w:val="22"/>
        </w:rPr>
        <w:t>y</w:t>
      </w:r>
      <w:r>
        <w:rPr>
          <w:rFonts w:ascii="Calibri" w:hAnsi="Calibri"/>
          <w:i/>
          <w:color w:val="111111"/>
          <w:sz w:val="19"/>
          <w:vertAlign w:val="subscript"/>
        </w:rPr>
        <w:t>t</w:t>
      </w:r>
      <w:r>
        <w:rPr>
          <w:rFonts w:ascii="Calibri" w:hAnsi="Calibri"/>
          <w:color w:val="111111"/>
          <w:sz w:val="22"/>
        </w:rPr>
        <w:t xml:space="preserve"> the log realised variance of day </w:t>
      </w:r>
      <w:r>
        <w:rPr>
          <w:rFonts w:ascii="Calibri" w:hAnsi="Calibri"/>
          <w:i/>
          <w:color w:val="111111"/>
          <w:sz w:val="22"/>
        </w:rPr>
        <w:t>t</w:t>
      </w:r>
      <w:r>
        <w:rPr>
          <w:rFonts w:ascii="Calibri" w:hAnsi="Calibri"/>
          <w:color w:val="111111"/>
          <w:sz w:val="22"/>
        </w:rPr>
        <w:t xml:space="preserve"> on the standardised scale the networks are fitted on, </w:t>
      </w:r>
      <w:r>
        <w:rPr>
          <w:rFonts w:ascii="Calibri" w:hAnsi="Calibri"/>
          <w:i/>
          <w:color w:val="111111"/>
          <w:sz w:val="22"/>
        </w:rPr>
        <w:t>w</w:t>
      </w:r>
      <w:r>
        <w:rPr>
          <w:rFonts w:ascii="Calibri" w:hAnsi="Calibri"/>
          <w:i/>
          <w:color w:val="111111"/>
          <w:sz w:val="19"/>
          <w:vertAlign w:val="subscript"/>
        </w:rPr>
        <w:t>k,t</w:t>
      </w:r>
      <w:r>
        <w:rPr>
          <w:rFonts w:ascii="Calibri" w:hAnsi="Calibri"/>
          <w:color w:val="111111"/>
          <w:sz w:val="22"/>
        </w:rPr>
        <w:t xml:space="preserve"> the gate weight of Equation 3.3 renormalised over the training windows, and </w:t>
      </w:r>
      <w:r>
        <w:rPr>
          <w:rFonts w:ascii="Calibri" w:hAnsi="Calibri"/>
          <w:i/>
          <w:color w:val="111111"/>
          <w:sz w:val="22"/>
        </w:rPr>
        <w:t>t′</w:t>
      </w:r>
      <w:r>
        <w:rPr>
          <w:rFonts w:ascii="Calibri" w:hAnsi="Calibri"/>
          <w:color w:val="111111"/>
          <w:sz w:val="22"/>
        </w:rPr>
        <w:t xml:space="preserve"> indexes those windows. Each day therefore contributes to every expert in proportion to how strongly its state was believed active at </w:t>
      </w:r>
      <w:r>
        <w:rPr>
          <w:rFonts w:ascii="Calibri" w:hAnsi="Calibri"/>
          <w:i/>
          <w:color w:val="111111"/>
          <w:sz w:val="22"/>
        </w:rPr>
        <w:t>t</w:t>
      </w:r>
      <w:r>
        <w:rPr>
          <w:rFonts w:ascii="Calibri" w:hAnsi="Calibri"/>
          <w:color w:val="111111"/>
          <w:sz w:val="22"/>
        </w:rPr>
        <w:t>−1, so the expert for the crisis state is not confined to crisis days but weights them most heavily; and Equation 3.4 below takes its residual variance from the mixture rather than from any single expert.</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rPr>
          <w:rFonts w:ascii="Calibri" w:hAnsi="Calibri"/>
          <w:color w:val="111111"/>
          <w:sz w:val="22"/>
        </w:rP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rPr>
          <w:rFonts w:ascii="Calibri" w:hAnsi="Calibri"/>
          <w:color w:val="111111"/>
          <w:sz w:val="22"/>
        </w:rPr>
        <w:t xml:space="preserve"> Equation 3.4 then returns the forecast to the variance scale, with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 xml:space="preserve"> in place of </w:t>
      </w:r>
      <w:r>
        <w:rPr>
          <w:rFonts w:ascii="Calibri" w:hAnsi="Calibri"/>
          <w:i/>
          <w:color w:val="111111"/>
          <w:sz w:val="22"/>
        </w:rPr>
        <w:t>σ̂</w:t>
      </w:r>
      <w:r>
        <w:rPr>
          <w:rFonts w:ascii="Calibri" w:hAnsi="Calibri"/>
          <w:i/>
          <w:color w:val="111111"/>
          <w:sz w:val="19"/>
          <w:vertAlign w:val="superscript"/>
        </w:rPr>
        <w:t>2</w:t>
      </w:r>
      <w:r>
        <w:rPr>
          <w:rFonts w:ascii="Calibri" w:hAnsi="Calibri"/>
          <w:color w:val="111111"/>
          <w:sz w:val="22"/>
        </w:rPr>
        <w:t xml:space="preserve">, so </w:t>
      </w:r>
      <w:r>
        <w:rPr>
          <w:rFonts w:ascii="Calibri" w:hAnsi="Calibri"/>
          <w:i/>
          <w:color w:val="111111"/>
          <w:sz w:val="22"/>
        </w:rPr>
        <w:t>ĥ</w:t>
      </w:r>
      <w:r>
        <w:rPr>
          <w:rFonts w:ascii="Calibri" w:hAnsi="Calibri"/>
          <w:i/>
          <w:color w:val="111111"/>
          <w:sz w:val="19"/>
          <w:vertAlign w:val="subscript"/>
        </w:rPr>
        <w:t>t</w:t>
      </w:r>
      <w:r>
        <w:rPr>
          <w:rFonts w:ascii="Calibri" w:hAnsi="Calibri"/>
          <w:color w:val="111111"/>
          <w:sz w:val="22"/>
        </w:rPr>
        <w:t xml:space="preserve"> = exp(</w:t>
      </w:r>
      <w:r>
        <w:rPr>
          <w:rFonts w:ascii="Calibri" w:hAnsi="Calibri"/>
          <w:i/>
          <w:color w:val="111111"/>
          <w:sz w:val="22"/>
        </w:rPr>
        <w:t>μ̂</w:t>
      </w:r>
      <w:r>
        <w:rPr>
          <w:rFonts w:ascii="Calibri" w:hAnsi="Calibri"/>
          <w:i/>
          <w:color w:val="111111"/>
          <w:sz w:val="19"/>
          <w:vertAlign w:val="subscript"/>
        </w:rPr>
        <w:t>t</w:t>
      </w:r>
      <w:r>
        <w:rPr>
          <w:rFonts w:ascii="Calibri" w:hAnsi="Calibri"/>
          <w:color w:val="111111"/>
          <w:sz w:val="22"/>
        </w:rPr>
        <w:t xml:space="preserve"> + ½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lineRule="auto"/>
        <w:jc w:val="both"/>
      </w:pPr>
      <w:r>
        <w:rPr>
          <w:rFonts w:ascii="Calibri" w:hAnsi="Calibri"/>
          <w:color w:val="111111"/>
          <w:sz w:val="22"/>
        </w:rPr>
        <w:t xml:space="preserve">Equations 3.4 and 3.5 state a Gaussian law on log realised variance, which induces a log-normal law on the variance scale; every interval, quantile and closed-form score below is read off it. The central interval at nominal level 1 − </w:t>
      </w:r>
      <w:r>
        <w:rPr>
          <w:rFonts w:ascii="Calibri" w:hAnsi="Calibri"/>
          <w:i/>
          <w:color w:val="111111"/>
          <w:sz w:val="22"/>
        </w:rPr>
        <w:t>α</w:t>
      </w:r>
      <w:r>
        <w:rPr>
          <w:rFonts w:ascii="Calibri" w:hAnsi="Calibri"/>
          <w:color w:val="111111"/>
          <w:sz w:val="22"/>
        </w:rPr>
        <w:t xml:space="preserve"> is</w:t>
      </w:r>
    </w:p>
    <w:p>
      <w:pPr>
        <w:tabs>
          <w:tab w:pos="4513" w:val="center"/>
          <w:tab w:pos="9026" w:val="right"/>
        </w:tabs>
        <w:spacing w:after="220" w:line="320" w:lineRule="auto"/>
      </w:pPr>
      <w:r>
        <w:rPr>
          <w:sz w:val="22"/>
        </w:rP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libri" w:hAnsi="Calibri"/>
          <w:sz w:val="22"/>
        </w:rPr>
        <w:tab/>
        <w:t>(3.6)</w:t>
      </w:r>
    </w:p>
    <w:p>
      <w:pPr>
        <w:spacing w:after="160" w:line="320" w:lineRule="auto"/>
        <w:jc w:val="both"/>
      </w:pPr>
      <w:r>
        <w:rPr>
          <w:rFonts w:ascii="Calibri" w:hAnsi="Calibri"/>
          <w:color w:val="111111"/>
          <w:sz w:val="22"/>
        </w:rPr>
        <w:t xml:space="preserve">where </w:t>
      </w:r>
      <w:r>
        <w:rPr>
          <w:rFonts w:ascii="Calibri" w:hAnsi="Calibri"/>
          <w:i/>
          <w:color w:val="111111"/>
          <w:sz w:val="22"/>
        </w:rPr>
        <w:t>α</w:t>
      </w:r>
      <w:r>
        <w:rPr>
          <w:rFonts w:ascii="Calibri" w:hAnsi="Calibri"/>
          <w:color w:val="111111"/>
          <w:sz w:val="22"/>
        </w:rPr>
        <w:t xml:space="preserve"> is one minus the nominal coverage, </w:t>
      </w:r>
      <w:r>
        <w:rPr>
          <w:rFonts w:ascii="Calibri" w:hAnsi="Calibri"/>
          <w:color w:val="111111"/>
          <w:sz w:val="22"/>
        </w:rPr>
        <w:t>Φ</w:t>
      </w:r>
      <w:r>
        <w:rPr>
          <w:rFonts w:ascii="Calibri" w:hAnsi="Calibri"/>
          <w:color w:val="111111"/>
          <w:sz w:val="19"/>
          <w:vertAlign w:val="superscript"/>
        </w:rPr>
        <w:t>−1</w:t>
      </w:r>
      <w:r>
        <w:rPr>
          <w:rFonts w:ascii="Calibri" w:hAnsi="Calibri"/>
          <w:color w:val="111111"/>
          <w:sz w:val="22"/>
        </w:rPr>
        <w:t xml:space="preserve"> the standard normal quantile function, and </w:t>
      </w:r>
      <w:r>
        <w:rPr>
          <w:rFonts w:ascii="Calibri" w:hAnsi="Calibri"/>
          <w:i/>
          <w:color w:val="111111"/>
          <w:sz w:val="22"/>
        </w:rPr>
        <w:t>σ̂</w:t>
      </w:r>
      <w:r>
        <w:rPr>
          <w:rFonts w:ascii="Calibri" w:hAnsi="Calibri"/>
          <w:i/>
          <w:color w:val="111111"/>
          <w:sz w:val="19"/>
          <w:vertAlign w:val="subscript"/>
        </w:rPr>
        <w:t>t</w:t>
      </w:r>
      <w:r>
        <w:rPr>
          <w:rFonts w:ascii="Calibri" w:hAnsi="Calibri"/>
          <w:color w:val="111111"/>
          <w:sz w:val="22"/>
        </w:rP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ab/>
        <w:t>(3.7)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ab/>
        <w:t>(3.8)</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to specific evidence: RQ1 to the QLIKE ranking with its Diebold–Mariano tests and the Model Confidence Set; RQ2 to the Giacomini–White test of conditional predictive ability and the per-state breakdown; RQ3 to coverage, width, the proper scores and the interval backtests; and RQ4 to the reduced replication of Section 3.9. Section 3.10 states what none of it can establish.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