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AltHeading1"/>
        <w:spacing w:after="180" w:before="320"/>
      </w:pPr>
      <w:r>
        <w:rPr>
          <w:rFonts w:ascii="Calibri" w:cs="Calibri" w:eastAsia="Calibri" w:hAnsi="Calibri"/>
          <w:b/>
          <w:bCs/>
          <w:color w:val="111111"/>
          <w:sz w:val="30"/>
          <w:szCs w:val="30"/>
        </w:rPr>
        <w:t xml:space="preserve">Appendices</w:t>
      </w:r>
    </w:p>
    <w:p>
      <w:pPr>
        <w:pStyle w:val="AltHeading2"/>
        <w:spacing w:after="180" w:before="320"/>
      </w:pPr>
      <w:r>
        <w:rPr>
          <w:rFonts w:ascii="Calibri" w:cs="Calibri" w:eastAsia="Calibri" w:hAnsi="Calibri"/>
          <w:b/>
          <w:bCs/>
          <w:color w:val="111111"/>
          <w:sz w:val="26"/>
          <w:szCs w:val="26"/>
        </w:rPr>
        <w:t xml:space="preserve">Appendix C: Specification and supporting tables</w:t>
      </w:r>
    </w:p>
    <w:p>
      <w:pPr>
        <w:pStyle w:val="Caption"/>
        <w:keepNext/>
      </w:pPr>
      <w:r>
        <w:t>Table C.1  Notation: the symbols that appear in more than one section of Chapter 3. Each symbol carries this meaning throughout the chapter; symbols local to a single equation are defined where they appear, and no symbol here is reused for a second quantity.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5626"/>
        <w:gridCol w:w="2000"/>
      </w:tblGrid>
      <w:tr>
        <w:trPr>
          <w:cantSplit/>
          <w:tblHeader/>
        </w:trPr>
        <w:tc>
          <w:tcPr>
            <w:tcW w:type="dxa" w:w="1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Symbol</w:t>
            </w:r>
          </w:p>
        </w:tc>
        <w:tc>
          <w:tcPr>
            <w:tcW w:type="dxa" w:w="5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Meaning</w:t>
            </w:r>
          </w:p>
        </w:tc>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First used</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Realised variance on day t: the forecast target, and the proxy every loss is scored against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3.1</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ĥt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forecast for day t, formed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μ̂t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fitted conditional mean of log RVt, which every network returns; for the stochastic model, the average over its passes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σ̂2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of the log residuals on a held-out training tail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σ̂t2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total predictive variance of log RVt on day t: epistemic plus aleatoric</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3.5</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zt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standardised regime feature vector on day 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xt−L:t−1</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network's input window: L days ending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st, K</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latent market state on day t, one of K</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ξt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filtered state posterior over those K states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λ</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jump penalty charged whenever the state changes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ℓt, ut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lower and upper bounds of a prediction interval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3.6</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Pt,i</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i-th price on day t, on a fixed grid of M intervals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3.1</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rt,i</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corresponding intraday log return</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3.1</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Number of intraday intervals in the sampling grid</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3.1</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Number of days in the regime estimation window</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θk</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Gaussian mean and covariance of state k</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Gaussian negative log-likelihood</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fk</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k-th expert network of the mixture</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gk,t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gate weight on expert k for day t: the k-th element of the filtered posterior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Jk</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Expert k's weighted training objective</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3.3b</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realised variance on day t, on the standardised scale the networks are fitted on</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3.3b</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wk,t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gate weight of Equation 3.3, renormalised over the training windows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3.3b</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Number of stochastic forward passes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3.5</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mt,j</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log-variance output of the j-th pass on day 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3.5</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α</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minus the nominal coverage</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3.6</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Φ−1</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standard normal quantile function</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3.6</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Number of evaluated days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3.7</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subsample indicator, measurable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3.8</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Δ</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Difference in violation rate between flagged days and the remainder</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3.8</w:t>
            </w:r>
          </w:p>
        </w:tc>
      </w:tr>
    </w:tbl>
    <w:p>
      <w:pPr>
        <w:pStyle w:val="Caption"/>
        <w:keepNext/>
      </w:pPr>
      <w:r>
        <w:t xml:space="preserve">Table C.2  The model board: what each model is, what it sees, and what it isolates. Roles are those of Table C.12, and these names are used unchanged in every subsequent chapter. An ablation exists to attribute an effect rather than to compete; a sensitivity is one forecast read a second way, and is never ranked.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60"/>
        <w:gridCol w:w="2740"/>
        <w:gridCol w:w="302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c>
          <w:tcPr>
            <w:tcW w:type="dxa" w:w="27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Information set</w:t>
            </w:r>
          </w:p>
        </w:tc>
        <w:tc>
          <w:tcPr>
            <w:tcW w:type="dxa" w:w="30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isolates</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 history, as daily, weekly and monthly aggregates reaching 22 days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previous day's RV</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Persistence alone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Unconditional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and the open-to-close return, over the lookback window</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 what the architecture achieves with no regime signal</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Information-set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alone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control's edge over HAR-RV is the architecture or the extra return — HAR-RV's information source, differently constructed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LSTM-VIX</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Auxiliary-feature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an implied-volatility index, in logs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option-implied information buys; reported apart from the board, its information set being strictly larger</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the lagged state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information, the form fixed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plus the lagged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question on the leaner set, so a regime effect is not confounded with the return feature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the posterior gates the mixture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form rather than information (Equation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the stochastic passes add, the point model unchanged (Equation 3.5)</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network's deterministic pass with an aleatoric-only interval: the width the passes are measured against, not a third method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distribution-free interval, so a calibration result does not rest on the dropout approximation</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Quantile-LSTM-mean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Sensitivity</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quantile forecast on the mean scale the losses elicit; one forecast under two retransformations, so it is never ranked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Combined model</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regime conditioning and the uncertainty layer compose (RQ2 × RQ3)</w:t>
            </w:r>
          </w:p>
        </w:tc>
      </w:tr>
    </w:tbl>
    <w:p>
      <w:pPr>
        <w:pStyle w:val="Caption"/>
        <w:keepNext/>
      </w:pPr>
      <w:r>
        <w:t xml:space="preserve">Table C.3  Hyperparameters: meaning, candidates, selection and expected effect. The first five rows govern the regime estimator of Section 3.3, the rest the networks of Sections 3.4 to 3.6. Selected values are reported in Section 4.4 and Table C.6, being outcomes of the procedure. The three swept quantities give eighteen configurations; their ranges bracket what they control — the lookback grid spans HAR-RV's twenty-two-day reach, the width grid the capacity a sample of this size can identify, and the two learning rates the conventional range for this optimiser.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1120"/>
        <w:gridCol w:w="1220"/>
        <w:gridCol w:w="3326"/>
      </w:tblGrid>
      <w:tr>
        <w:trPr>
          <w:cantSplit/>
          <w:tblHeader/>
        </w:trPr>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Hyperparameter</w:t>
            </w:r>
          </w:p>
        </w:tc>
        <w:tc>
          <w:tcPr>
            <w:tcW w:type="dxa" w:w="18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controls</w:t>
            </w:r>
          </w:p>
        </w:tc>
        <w:tc>
          <w:tcPr>
            <w:tcW w:type="dxa" w:w="11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Candidates</w:t>
            </w:r>
          </w:p>
        </w:tc>
        <w:tc>
          <w:tcPr>
            <w:tcW w:type="dxa" w:w="12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Selection</w:t>
            </w:r>
          </w:p>
        </w:tc>
        <w:tc>
          <w:tcPr>
            <w:tcW w:type="dxa" w:w="33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Expected effect of increasing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Jump penalty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cost charged whenever the state path changes (Equation 3.2)</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1, 3, 10, 30, 100, 300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Smallest value clearing the persistence floor, on training rows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Buys persistence at the cost of responsiveness; at zero the objective is atemporal clustering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Persistence floor</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mean state duration the selected penalty must achieve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Set in advance, with the grid and the rule</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Forces a smoother path; too long a floor suppresses genuine short-lived regimes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State count</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Number of latent market states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2, 3, 4</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three; the criterion is a sensitivity, not the selector</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Dilutes interpretation and invites overfitting at this sample size; Section 3.3 gives the interpretability grounds for fixing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Emission covariance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shape of each state's Gaussian</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unrestricted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 diagonal form would constrain each state's shape and change the criterion's parameter count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Estimator restarts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Random initialisations of a non-convex fit</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the best fit is kept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Lowers the chance of a poor local optimum at linear cost; the keep-rule is highest likelihood for the maximum-likelihood fit and lowest objective for the penalised path</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Lookback </w:t>
            </w:r>
            <w:r>
              <w:rPr>
                <w:rFonts w:ascii="Calibri" w:cs="Calibri" w:eastAsia="Calibri" w:hAnsi="Calibri"/>
                <w:b w:val="false"/>
                <w:bCs w:val="false"/>
                <w:i/>
                <w:iCs/>
                <w:color w:val="444444"/>
                <w:sz w:val="17"/>
                <w:szCs w:val="17"/>
              </w:rPr>
              <w:t xml:space="preserve">L</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Days per input window</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10, 20, 40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QLIKE</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Captures slower dynamics but dilutes recent information, which for volatility is the most informative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Hidden width</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Recurrent-state capacity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32, 64, 128</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QLIKE</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Fits richer non-linearity; overfits sooner, bounded by early stopping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Learning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Optimiser step size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1e-3, 1e-4</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QLIKE</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Converges faster but may overshoot; smaller needs more epochs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 layers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Depth</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1</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Adds capacity the sample cannot identify</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Dropout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Regularisation, and the source of the Section 3.5 passes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Regularises harder and widens the interval, so tuning it on point loss would tune interval width too</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Early-stopping patience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Epochs without improvement before halting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Permits further fitting, raising overfitting risk</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Gradient-clip norm</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Per-update gradient ceiling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Loosens a stability guard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Weight decay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L2 penalty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Zero</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Would make dropout's and early stopping's contributions unattributable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Stochastic passes B</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Draws forming the predictive moments of Equation 3.5</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Cuts Monte Carlo error as 1/√B; past a few dozen draws that error is far below the miscalibration being measured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Batch size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Windows per gradient step</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Smooths each update but takes fewer steps per epoch; immaterial at this sample size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 cap</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Maximum passes over the training block</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Raises only the ceiling; early stopping ends training first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Inner-validation fraction</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Time-ordered tail held out for early stopping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Buys a steadier stopping signal at the cost of training rows</w:t>
            </w:r>
          </w:p>
        </w:tc>
      </w:tr>
    </w:tbl>
    <w:p>
      <w:pPr>
        <w:pStyle w:val="Caption"/>
        <w:keepNext/>
      </w:pPr>
      <w:r>
        <w:t xml:space="preserve">Table C.4  Settings of the evaluation procedures. Table C.14 states what each procedure establishes and cites its source; this table fixes the values at which each was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Procedure</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Settings as configured</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Loss computation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QLIKE primary, MSE secondary; both arguments floored at 1e-16 before any logarithm or division.</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Diebold–Mariano</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Newey–West Bartlett long-run variance, the lag the larger of h − 1 and the integer part of the cube root of n, hence 9 at n = 784; Harvey–Leybourne–Newbold small-sample rescaling; two-sided Student-t on n − 1 degrees of freedom. The lag is swept from 0 to 30 as a sensitivity.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Giacomini–White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Conditioning set the three t−1 regime indicators, or a constant with the lagged loss differential; horizon 1, so no HAC lag. The long-run covariance is mean-centred, with the uncentred estimator reported beside it.</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Confidence Set</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α = 0.10; range elimination statistic; stationary bootstrap, 2,000 replications, expected block length 10, seed 17.</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Interval levels</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90% headline; 95% additionally for the methods stating a predictive law; endpoints floored at 1e-14 on the variance scale.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Coverage backtests</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Kupiec and Christoffersen likelihood ratios; dynamic quantile on a constant, four lagged hits and, where stated, the t−1 regime indicators.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Multiplicity</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Holm within each family of method, level and tail, the size of the family reported on every row.</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Conditioning timing</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Every conditional statistic buckets on the t−1 filtered state, and every regressor entering a conditional test is lagged to that same information set.</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 sampling</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100 Monte Carlo dropout passes with mask seed 17; the quantile head trained at the 5th, 50th and 95th percentiles.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Reproducibility</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Seed 17 for every stochastic component; each run writes its resolved configuration and library versions beside its outputs.</w:t>
            </w:r>
          </w:p>
        </w:tc>
      </w:tr>
    </w:tbl>
    <w:p>
      <w:pPr>
        <w:pStyle w:val="Caption"/>
        <w:keepNext/>
      </w:pPr>
      <w:r>
        <w:t>Table C.5  Minimum computational requirements, derived from the architectures of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Resource</w:t>
            </w:r>
          </w:p>
        </w:tc>
        <w:tc>
          <w:tcPr>
            <w:tcW w:type="dxa" w:w="2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Requirement</w:t>
            </w:r>
          </w:p>
        </w:tc>
        <w:tc>
          <w:tcPr>
            <w:tcW w:type="dxa" w:w="4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Basis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Trainable parameters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4H(F + H) + 9H + 1 per network, times K for the mixture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H the hidden width, F the input features, K the number of states; Chapter 4 reports the instantiated counts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size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Four bytes per parameter</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Single precision; under a megabyte at any width in the Appendix C.3 grid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Training data in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Under a megabyte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A daily series of a few thousand rows and a handful of columns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Working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Under 512 MB</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deep-learning framework's own footprint dominates; parameters and data together are under two megabytes. Chapter 4 reports the measured peak</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Accelerator</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None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CPU throughout</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End-to-end runtime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Minutes rather than hours on the configuration above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Chapter 4 reports the measured wall-clock, hyperparameter search included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Inference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forward pass per day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binding cost is input data, not computation</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Software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Python 3.12 with the pinned dependency set; no accelerator libraries</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interpreter version is part of the specification (Section 3.8)</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Network access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Once, to acquire and cache the inputs; none thereafter</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discontinued realised-measure library must be archived, not fetched on demand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Storage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Under 100 MB for the cached inputs and every published artefact</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Dominated by the raw realised-measure file, not by model outputs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Availability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public repository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github.com/BOBMSH/Regime-Aware-Deep-Learning-for-Volatility-Forecasting-with-Uncertainty-Quantification — implementation, configurations, pinned dependencies and one script that regenerates every artefact in dependency order; Chapter 4 names the commit the reported values were produced from</w:t>
            </w:r>
          </w:p>
        </w:tc>
      </w:tr>
    </w:tbl>
    <w:p>
      <w:pPr>
        <w:pStyle w:val="Caption"/>
        <w:keepNext/>
      </w:pPr>
      <w:r>
        <w:t xml:space="preserve">Table C.6  The configuration selected by the procedure of Section 3.6, and the measured cost of running the study at it. Candidates and the selection rule are in Table C.3; the epoch figures record that early stopping, not the ceiling, ended every fit.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Quantity</w:t>
            </w:r>
          </w:p>
        </w:tc>
        <w:tc>
          <w:tcPr>
            <w:tcW w:type="dxa" w:w="57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Value</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Hidden width</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128</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Lookback</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10 trading days</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Learning rate</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1e-3</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Configurations evaluated</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18</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Validation QLIKE at the selection</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0.2343</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Epochs, selected configuration in the search</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32, against a ceiling of 150</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Epochs, frozen fits</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23; the three experts 23, 29 and 28, against a ceiling of 90</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Trainable parameters</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67,713 for a single network; 203,139 for the mixture</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End-to-end wall-clock</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836 seconds, of which the search is 378</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Peak working memory</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390 MB</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Accelerator</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None; four processor cores</w:t>
            </w:r>
          </w:p>
        </w:tc>
      </w:tr>
    </w:tbl>
    <w:p>
      <w:pPr>
        <w:pStyle w:val="Caption"/>
        <w:keepNext/>
      </w:pPr>
      <w:r>
        <w:t xml:space="preserve">Table C.7  Selection of the jump penalty on training rows, by the persistence rule of Section 3.3. The selected value is the smallest on the pre-registered grid that clears the floor; Section 4.5 reports the finer sweep around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500"/>
        <w:gridCol w:w="3526"/>
      </w:tblGrid>
      <w:tr>
        <w:trPr>
          <w:cantSplit/>
          <w:tblHeader/>
        </w:trPr>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Penalty</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Switches</w:t>
            </w:r>
          </w:p>
        </w:tc>
        <w:tc>
          <w:tcPr>
            <w:tcW w:type="dxa" w:w="2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 duration, days</w:t>
            </w:r>
          </w:p>
        </w:tc>
        <w:tc>
          <w:tcPr>
            <w:tcW w:type="dxa" w:w="35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Clears the floor</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1,196</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3.3</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76</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51.9</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 and selected</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363.0</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30</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6</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570.4</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100</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998.3</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300</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3,993.0</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w:t>
            </w:r>
          </w:p>
        </w:tc>
      </w:tr>
    </w:tbl>
    <w:p>
      <w:pPr>
        <w:pStyle w:val="Caption"/>
        <w:keepNext/>
      </w:pPr>
      <w:r>
        <w:t xml:space="preserve">Table C.8  The Bayesian information criterion over the candidate state counts, for both estimators. Reported as a sensitivity and not as the selector: the count is fixed at three in Section 3.3, and the two estimators do not agree on the minimum.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713"/>
        <w:gridCol w:w="3713"/>
      </w:tblGrid>
      <w:tr>
        <w:trPr>
          <w:cantSplit/>
          <w:tblHeader/>
        </w:trPr>
        <w:tc>
          <w:tcPr>
            <w:tcW w:type="dxa" w:w="16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States</w:t>
            </w:r>
          </w:p>
        </w:tc>
        <w:tc>
          <w:tcPr>
            <w:tcW w:type="dxa" w:w="3713"/>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Baum-Welch criterion</w:t>
            </w:r>
          </w:p>
        </w:tc>
        <w:tc>
          <w:tcPr>
            <w:tcW w:type="dxa" w:w="3713"/>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Penalised criterion</w:t>
            </w:r>
          </w:p>
        </w:tc>
      </w:tr>
      <w:tr>
        <w:trPr>
          <w:cantSplit/>
          <w:tblHeader w:val="false"/>
        </w:trPr>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13,306.9</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13,705.7</w:t>
            </w:r>
          </w:p>
        </w:tc>
      </w:tr>
      <w:tr>
        <w:trPr>
          <w:cantSplit/>
          <w:tblHeader w:val="false"/>
        </w:trPr>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12,820.2</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13,237.4</w:t>
            </w:r>
          </w:p>
        </w:tc>
      </w:tr>
      <w:tr>
        <w:trPr>
          <w:cantSplit/>
          <w:tblHeader w:val="false"/>
        </w:trPr>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4</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12,825.0</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13,174.6</w:t>
            </w:r>
          </w:p>
        </w:tc>
      </w:tr>
    </w:tbl>
    <w:p>
      <w:pPr>
        <w:pStyle w:val="Caption"/>
        <w:keepNext/>
      </w:pPr>
      <w:r>
        <w:t xml:space="preserve">Table C.9  Six robustness checks, each varying one element of the design and reporting whether a conclusion of Chapter 4 moves. Section 4.10 discusses the one check that qualifies a conclusion.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22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Check</w:t>
            </w:r>
          </w:p>
        </w:tc>
        <w:tc>
          <w:tcPr>
            <w:tcW w:type="dxa" w:w="2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42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Outcome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Initialisation</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pooled ordering is stable across random seeds</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Five seeds over the four leading specifications: standard deviation 0.0062 against a published gap of 0.0025, and the five-seed mean reverses the ordering</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Refit cadence</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What the frozen training protocol costs the networks</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Refitting at the baselines' monthly cadence lowers the unconditional network from 0.2650 to 0.2607, so the protocol is conservative by 1.6 per cent</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Benchmark specification</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networks win only by modelling a transformed target</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HAR-RV fitted in logarithms returns 0.4886 against 0.2745 in levels, on identical folds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State estimator</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state dependence depends on the penalised estimator</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Re-run on the maximum-likelihood estimator, the transitional advantage holds at 0.1951 against 0.2409, conditional test 2.0e-05</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Test construction</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declared centring of the conditional test matters</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Thirty tests recomputed without centring: shrinkage from 0.12 to 4.87 per cent, no verdict changes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Reproducibility</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reported values re-derive from the persisted forecasts</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An independent implementation re-derives 943 published values: 941 agree, two are skipped, none disagree</w:t>
            </w:r>
          </w:p>
        </w:tc>
      </w:tr>
    </w:tbl>
    <w:p>
      <w:pPr>
        <w:pStyle w:val="Caption"/>
        <w:keepNext/>
      </w:pPr>
      <w:r>
        <w:t xml:space="preserve">Table C.10  The validation series and the division of its 5,530 modelling days under the split rule of Section 3.6. Section 4.2 reports the distributional properties of the test block.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Property</w:t>
            </w:r>
          </w:p>
        </w:tc>
        <w:tc>
          <w:tcPr>
            <w:tcW w:type="dxa" w:w="64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Value</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Target series</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Oxford-Man Realized Library five-minute realised variance, S&amp;P 500</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Construction</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Sum of squared five-minute intraday returns</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Auxiliary series</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S&amp;P 500 daily open and close, and the CBOE VIX, from Yahoo Finance</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Library coverage</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3 January 2000 to 25 February 2022, when the library was discontinued</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Observations in the library</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5,552</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Lost to the calendar join</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0</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Lost to the warm-up</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22</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Modelling frame</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5,530 days, 3 February 2000 to 25 February 2022</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Training block</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3,993 days, to 31 December 2015</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Validation block</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753 days, 4 January 2016 to 31 December 2018</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Test block</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784 days, 2 January 2019 to 25 February 2022</w:t>
            </w:r>
          </w:p>
        </w:tc>
      </w:tr>
    </w:tbl>
    <w:p>
      <w:pPr>
        <w:pStyle w:val="Caption"/>
        <w:keepNext/>
      </w:pPr>
      <w:r>
        <w:t xml:space="preserve">Table C.11  One forecast, end to end: 16 March 2020, against a realised variance of 41.21, discussed in Section 4.3. QLIKE is Equation 3.7; all variances are multiplied by ten thousand.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600"/>
        <w:gridCol w:w="1150"/>
        <w:gridCol w:w="2526"/>
      </w:tblGrid>
      <w:tr>
        <w:trPr>
          <w:cantSplit/>
          <w:tblHeader/>
        </w:trPr>
        <w:tc>
          <w:tcPr>
            <w:tcW w:type="dxa" w:w="2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2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Forecast</w:t>
            </w:r>
          </w:p>
        </w:tc>
        <w:tc>
          <w:tcPr>
            <w:tcW w:type="dxa" w:w="16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Actual / forecast</w:t>
            </w:r>
          </w:p>
        </w:tc>
        <w:tc>
          <w:tcPr>
            <w:tcW w:type="dxa" w:w="11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QLIKE</w:t>
            </w:r>
          </w:p>
        </w:tc>
        <w:tc>
          <w:tcPr>
            <w:tcW w:type="dxa" w:w="25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90% interval</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 (reference floor)</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26.29</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1.57</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0.118</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17.96</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2.30</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0.464</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15.57</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2.65</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0.673</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15.42</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2.67</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0.690</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4.71 to 34.84</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13.16</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3.13</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0.990</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bl>
    <w:p>
      <w:pPr>
        <w:pStyle w:val="Caption"/>
        <w:keepNext/>
      </w:pPr>
      <w:r>
        <w:t xml:space="preserve">Table C.12  Model inventory: the role each model plays in the comparison. The terms in the left-hand column are used with these meanings in every chapter; Table C.2 names the models that fill each role.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pStyle w:val="Caption"/>
        <w:keepNext/>
      </w:pPr>
      <w:r>
        <w:t xml:space="preserve">Table C.13  The baseline set and what each is there to rule out. The conditional-variance models take open-to-close returns, as do the networks of Section 3.4, matching the session-only realised measure; a close-to-close return embeds the overnight gap, which the ratio loss of Section 3.7 would read as forecast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pStyle w:val="Caption"/>
        <w:keepNext/>
      </w:pPr>
      <w:r>
        <w:t xml:space="preserve">Table C.14  Evaluation criteria and the question each answers. The two departing from standard practice are defined in Equations 3.7 and 3.8; Table C.4 fixes the settings at which each was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Patton (2011); Eq. 3.7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Kupiec; Christoffersen; incremental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Whether violations match the nominal rate, cluster, or — over and above their own lags — are predictable at t−1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Project-specific; Eq. 3.8, Holm (1979)</w:t>
            </w:r>
          </w:p>
        </w:tc>
      </w:tr>
    </w:tbl>
    <w:p>
      <w:pPr>
        <w:pStyle w:val="Caption"/>
        <w:keepNext/>
      </w:pPr>
      <w:r>
        <w:t xml:space="preserve">Table C.15  Protocol details fixed by the method: the deterministic assembly rules of Section 3.2, the requirements the block boundaries of Section 3.6 must satisfy, the six leakage controls, and the three conditions the transfer check of Section 3.9 imposes.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Element</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Rule fixed by the method</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Calendar join</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Sources joined on the trading calendar by intersection; the frame holds only days present in all of them, and the rows lost are reported rather than absorbed.</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Dropping</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Non-positive and non-finite observations are dropped with the rest of their row, the target being undefined in logs; rows missing a required field are dropped, never imputed.</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Transformation</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The realised measure and any positive auxiliary series enter the networks in logs, a quantity spanning several orders of magnitude being poorly matched to a squared-error objective.</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Standardisation</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Every standardiser is estimated on training rows alone.</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Training block</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Must span at least one calm-to-crisis cycle, the regime model estimating its states from it alone.</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Validation block</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Must be long enough that its ranking of the grid is not itself noise.</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Test block</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Must hold a stress episode and enough days for the tests of Section 3.7 to have power.</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Leakage control 1</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Standardisers are fitted on training rows only.</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Leakage control 2</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Every input window ends strictly before the date it predicts.</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Leakage control 3</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Each fold's training window ends the day before its first forecast.</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Leakage control 4</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The state model sees training rows only.</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Leakage control 5</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The posterior used downstream is filtered rather than smoothed.</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Leakage control 6</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The regime signal is lagged one day wherever it enters a forecasting model.</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Early stopping</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Monitors a time-ordered tail rather than a random subset, shuffling reintroducing the leakage the outer split prevents.</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Selected architecture</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Held fixed for every variant; re-searching each would confound a component's effect with that of a fresh search.</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Transfer: regime model</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Re-estimated on each asset rather than carried across, a state path fitted to one market's return distribution not being a description of another's.</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Transfer: auxiliary input</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Dropped wherever the available index prices options on a different market, which would be a spillover experiment rather than the feature ablation of Section 3.4.</w:t>
            </w:r>
          </w:p>
        </w:tc>
      </w:tr>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Transfer: calendar</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An asset trading on a different exchange calendar yields a different sample; the rows lost are reported.</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uiPriority w:val="35"/>
    <w:unhideWhenUsed/>
    <w:qFormat/>
    <w:pPr>
      <w:spacing w:after="200" w:line="240" w:lineRule="auto"/>
    </w:pPr>
    <w:rPr>
      <w:i/>
      <w:iCs/>
      <w:color w:val="44546A"/>
      <w:sz w:val="18"/>
      <w:szCs w:val="18"/>
    </w:rPr>
  </w:style>
  <w:style w:type="paragraph" w:customStyle="1" w:styleId="AltHeading1">
    <w:name w:val="Alt Heading 1"/>
    <w:basedOn w:val="Heading1"/>
    <w:qFormat/>
    <w:pPr>
      <w:numPr>
        <w:numId w:val="0"/>
      </w:numPr>
    </w:pPr>
  </w:style>
  <w:style w:type="paragraph" w:customStyle="1" w:styleId="AltHeading2">
    <w:name w:val="Alt Heading 2"/>
    <w:basedOn w:val="Heading2"/>
    <w:qFormat/>
    <w:pPr>
      <w:numPr>
        <w:ilvl w:val="0"/>
        <w:numId w:val="0"/>
      </w:numP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