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t xml:space="preserve">This chapter specifies the method — the data it requires, how each component is built, how its parameters are chosen and how forecasts are judged — so that it can be reproduced without sight of the implementation and applied to any dataset meeting Section 3.2's requirements.</w:t>
      </w:r>
    </w:p>
    <w:p>
      <w:pPr>
        <w:spacing w:after="160" w:line="320"/>
        <w:jc w:val="both"/>
      </w:pPr>
      <w:r>
        <w:t xml:space="preserve">The paradigm is a controlled comparative evaluation: Chapter 2 found the gap to be one of integration rather than invention, so the object under test is the assembled pipeline, not a novel architecture. Every model forecasts the same target over the same window on the same losses and tests, and only the component under examination varies. Each research question concerns a different property of the predictive distribution — RQ1 the conditional mean, RQ2 whether its loss depends on the market state, RQ3 the interval.</w:t>
      </w:r>
    </w:p>
    <w:p>
      <w:pPr>
        <w:spacing w:after="160" w:line="320"/>
        <w:jc w:val="both"/>
      </w:pPr>
      <w:r>
        <w:t xml:space="preserve">Figure 3.1 shows the pipeline and names the section that specifies each stage. The target is realised variance rather than realised volatility, so every loss is computed on the variance scale; Appendix C.1 fixes the symbols, C.2 the models and C.12 the role each plays. One asset carries the primary analysis while a reduced design tests transfer to two others (Section 3.9), and the values these procedures return belong to Chapter 4.</w:t>
      </w:r>
    </w:p>
    <w:p>
      <w:pPr>
        <w:keepNext/>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pStyle w:val="Caption"/>
      </w:pPr>
      <w:r>
        <w:t xml:space="preserve">Figure 3.1. The forecasting pipeline. Solid arrows carry data and dashed arrows the regime signal, estimated on the training window only; the bracket marks the stages run at every forecast origin. Only the network path reaches the interval criteria.</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t xml:space="preserve">The method is specified against a data interface rather than a source: any series meeting the requirements below drives the pipeline unchanged, and Chapter 4 names the series used. The dependent variable is daily realised variance, the sum of squared intraday returns:</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t xml:space="preserve">	(3.1)</w:t>
      </w:r>
    </w:p>
    <w:p>
      <w:pPr>
        <w:spacing w:after="160" w:line="320"/>
        <w:jc w:val="both"/>
      </w:pPr>
      <w:r>
        <w:t xml:space="preserve">Appendix C.1 defines every symbol. The measure converges to integrated variance as the grid is refined (Andersen et al., 2003); that grid must be fixed and documented rather than of any particular width, five minutes being the conventional compromise between discretisation error and microstructure noise (Liu, Patton and Sheppard, 2015). The target must be strictly positive, the models being estimated on its logarithm under a ratio loss, and it is a variance, not a standard deviation.</w:t>
      </w:r>
    </w:p>
    <w:p>
      <w:pPr>
        <w:spacing w:after="160" w:line="320"/>
        <w:jc w:val="both"/>
      </w:pPr>
      <w:r>
        <w:t xml:space="preserve">Predictor requirements stay modest, the Section 3.4 comparison being interpretable only if every model draws on the same information set; Table 3.2 gives the interface, and an auxiliary implied-volatility series must price options on the same market as the target. Rows missing a required field are dropped, never imputed.</w:t>
      </w:r>
    </w:p>
    <w:p>
      <w:pPr>
        <w:pStyle w:val="Caption"/>
        <w:keepNext/>
      </w:pPr>
      <w: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240"/>
        <w:gridCol w:w="204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2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0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Closing price; the close-to-close return the Section 3.3 regime model uses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Conditional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 when the target is session-only; positive, same session</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With close, the open-to-close return the baselines and networks take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and 22-day means of RV, ending at t-1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color w:val="444444"/>
          <w:sz w:val="18"/>
          <w:szCs w:val="18"/>
        </w:rPr>
        <w:t xml:space="preserve">Minimum history is 22 + L trading days of warm-up, then the three windows of Section 3.6. The horizon is one trading day: every forecast of day t draws only on information dated t−1 or earlier. Appendix C.15 states the calendar join, the dropping rules and the standardisation, all estimated on training rows alone.</w:t>
      </w:r>
    </w:p>
    <w:p>
      <w:pPr>
        <w:spacing w:after="260" w:line="280"/>
      </w:pPr>
      <w:r>
        <w:rPr>
          <w:color w:val="444444"/>
          <w:sz w:val="18"/>
          <w:szCs w:val="18"/>
        </w:rPr>
        <w:t xml:space="preserve">One day fixes both input and output. On 16 March 2020 the required fields read date 2020-03-16, realised variance 0.00412, close 2386.13, open 2508.59 and, optionally, an implied-volatility index at 82.69. The method returns one variance forecast formed at the previous close and, for the models of Section 3.5, an interval at a stated level.</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t xml:space="preserve">This stage produces the regime signal: for every trading day, a distribution over K latent market states formed without reference to the future. Three requirements shape the estimator — unsupervised, since no labelled regimes exist; persistent, since a signal changing every few days injects noise into anything conditioned on it; and causal at the point of use. Maximum-likelihood estimation of a Gaussian-emission hidden Markov model (Hamilton, 1989) fails the second, switching states faster than the data warrant, so this design penalises switching directly (Nystrup, Lindström and Madsen, 2020) and keeps the maximum-likelihood fit as the comparator. Over the state path and parameters it minimises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t xml:space="preserve">	(3.2)</w:t>
      </w:r>
    </w:p>
    <w:p>
      <w:pPr>
        <w:spacing w:after="160" w:line="320"/>
        <w:jc w:val="both"/>
      </w:pPr>
      <w:r>
        <w:t xml:space="preserve">The feature vector is minimal: the daily close-to-close log return, standardised on training rows only. At zero penalty the objective is atemporal clustering; as the penalty grows the fit buys persistence at the cost of responsiveness. Coordinate descent from several random initialisations minimises it, and the best fit serves as a route to an HMM whose forward filter yields the filtered posterior used downstream. Causality is enforced at three points: the state model sees training rows only, the posterior is filtered rather than smoothed, and the signal is lagged one day wherever it enters a forecasting model.</w:t>
      </w:r>
    </w:p>
    <w:p>
      <w:pPr>
        <w:spacing w:after="160" w:line="320"/>
        <w:jc w:val="both"/>
      </w:pPr>
      <w:r>
        <w:t xml:space="preserve">The state count is fixed rather than fitted: three states — calm, transitional and crisis — are set in advance on the interpretability grounds of Section 2.4, a richer space diluting interpretation and inviting overfitting at this sample size. An information criterion over candidate counts is reported as a sensitivity, not used as the selector: the two estimators need not agree on it, and letting a criterion decide once the downstream models exist would reopen every choice conditional on it.</w:t>
      </w:r>
    </w:p>
    <w:p>
      <w:pPr>
        <w:spacing w:after="160" w:line="320"/>
        <w:jc w:val="both"/>
      </w:pPr>
      <w:r>
        <w:t xml:space="preserve">Likelihood cannot select the penalty, always preferring the smallest value and so returning the pathology it exists to remove. Selection applies a stated rule to a stated grid — the smallest penalty whose mean regime duration clears a persistence floor, on training rows only — fixed before any downstream result existed. Appendix C.3 records both grids, the floor and the rule.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t xml:space="preserve">What varies across the models is the information each may use and the form each may take, one at a time. Three econometric baselines each close off a competing explanation, alongside a reference floor; Appendix C.13 states what each rules out and why the conditional-variance models take open-to-close returns.</w:t>
      </w:r>
    </w:p>
    <w:p>
      <w:pPr>
        <w:spacing w:after="160" w:line="320"/>
        <w:jc w:val="both"/>
      </w:pPr>
      <w:r>
        <w:t xml:space="preserve">The deep architecture is a long short-term memory network (Hochreiter and Schmidhuber, 1997), for the reason Section 2.5 sets out: gated recurrence imposes a strong temporal inductive bias suited to the modest effective sample sizes of daily financial data, whereas attention (Vaswani et al., 2017; Lim et al., 2021) is data-hungry at exactly that sample size and recent benchmarks find simple recurrent models matching it (Zeng et al., 2023). Each network passes a window of the previous L trading days through one recurrent layer to a linear output, estimated by mean squared error on standardised log realised variance.</w:t>
      </w:r>
    </w:p>
    <w:p>
      <w:pPr>
        <w:spacing w:after="160" w:line="320"/>
        <w:jc w:val="both"/>
      </w:pPr>
      <w:r>
        <w:t xml:space="preserve">Two ablations vary that information set while holding the architecture fixed, because a win over HAR-RV would otherwise be unattributable. The first restricts the input to realised-volatility history alone, HAR-RV's own source, so whatever advantage survives is the architecture rather than the extra return; the match is on the source, not its construction, and unless the selected window reaches HAR-RV's twenty-two days the network works from less history — the more conservative control. The second adds an implied-volatility index, reported apart because option-implied information is available to no other model here.</w:t>
      </w:r>
    </w:p>
    <w:p>
      <w:pPr>
        <w:spacing w:after="160" w:line="320"/>
        <w:jc w:val="both"/>
      </w:pPr>
      <w: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t xml:space="preserve">	(3.3)</w:t>
      </w:r>
    </w:p>
    <w:p>
      <w:pPr>
        <w:spacing w:after="160" w:line="320"/>
        <w:jc w:val="both"/>
      </w:pPr>
      <w:r>
        <w:t xml:space="preserve">The gate weight on each expert is the corresponding element of the filtered posterior at the previous close, which makes the mixture causal. The signal enters only through the gate, so the experts see exactly what the unconditional network sees: the first architecture varies the information and fixes the form, the second the reverse.</w:t>
      </w:r>
    </w:p>
    <w:p>
      <w:pPr>
        <w:spacing w:after="160" w:line="320" w:lineRule="auto"/>
        <w:jc w:val="both"/>
      </w:pPr>
      <w:r>
        <w:t xml:space="preserve">The gate also enters training, as a weight rather than a partition: every expert sees every window, weighted by its own gate, so expert </w:t>
      </w:r>
      <w:r>
        <w:rPr>
          <w:i/>
        </w:rPr>
        <w:t>k</w:t>
      </w:r>
      <w:r>
        <w:t xml:space="preserve"> minimises the weighted objective of Equation 3.3b</w:t>
      </w:r>
    </w:p>
    <w:p>
      <w:pPr>
        <w:tabs>
          <w:tab w:pos="4513" w:val="center"/>
          <w:tab w:pos="9026" w:val="right"/>
        </w:tabs>
        <w:spacing w:after="220" w:line="320" w:lineRule="auto"/>
      </w:pPr>
      <w: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tab/>
        <w:t>(3.3b)</w:t>
      </w:r>
    </w:p>
    <w:p>
      <w:pPr>
        <w:spacing w:after="160" w:line="320" w:lineRule="auto"/>
        <w:jc w:val="both"/>
      </w:pPr>
      <w:r>
        <w:t xml:space="preserve">Each day therefore contributes to every expert in proportion to how strongly its state was believed active at the previous close, so the crisis expert weights crisis days most heavily without being confined to them.</w:t>
      </w:r>
    </w:p>
    <w:p>
      <w:pPr>
        <w:spacing w:after="160" w:line="320"/>
        <w:jc w:val="both"/>
      </w:pPr>
      <w: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t xml:space="preserve">	(3.4)</w:t>
      </w:r>
    </w:p>
    <w:p>
      <w:pPr>
        <w:spacing w:after="160" w:line="320"/>
        <w:jc w:val="both"/>
      </w:pPr>
      <w:r>
        <w:t xml:space="preserve">The correction is exact under Gaussian residuals, the residual variance being estimated on a held-out training tail; Duan's (1983) smearing estimator is the alternative. It applies to every model forecasting in logs, selective application biasing the comparison.</w:t>
      </w:r>
    </w:p>
    <w:p>
      <w:pPr>
        <w:spacing w:after="160" w:line="320"/>
        <w:jc w:val="both"/>
      </w:pPr>
      <w:r>
        <w:t xml:space="preserve">Appendix C.2 assembles the board these choices produce, naming every model in any later table with the information it may use and the question its presence answers.</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t xml:space="preserve">RQ3 asks whether a forecast's stated uncertainty can be trusted, which requires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t xml:space="preserve">The primary method is Monte Carlo dropout (Gal and Ghahramani, 2016). Training is unchanged, so the fitted weights are the point model's; only inference changes, the dropout staying active while the network runs B stochastic passes, whose average is the predictive mean — so they move the point forecast as well as widening the interval.</w:t>
      </w:r>
    </w:p>
    <w:p>
      <w:pPr>
        <w:spacing w:after="160" w:line="320" w:lineRule="auto"/>
        <w:jc w:val="both"/>
      </w:pPr>
      <w:r>
        <w:t xml:space="preserve">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Those passes and the residual term of Equation 3.4 supply two components of predictive variance, which add:</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t xml:space="preserve">	(3.5)</w:t>
      </w:r>
    </w:p>
    <w:p>
      <w:pPr>
        <w:spacing w:after="160" w:line="320"/>
        <w:jc w:val="both"/>
      </w:pPr>
      <w:r>
        <w:t xml:space="preserve">Epistemic uncertainty should shrink as data accumulates and widen where the model extrapolates, aleatoric uncertainty should not, and an interval omitting either is miscalibrated for a different reason.</w:t>
      </w:r>
    </w:p>
    <w:p>
      <w:pPr>
        <w:spacing w:after="160" w:line="320"/>
        <w:jc w:val="both"/>
      </w:pPr>
      <w:r>
        <w:t xml:space="preserve">The comparison method assumes no distribution: one network carries a multi-quantile head trained under the pinball loss (Koenker and Bassett, 1978), monotone by construction and trained at the headline band's endpoints and its median. That decides how it may be scored, a median head estimating a conditional median whereas the losses of Section 3.7 are defined for a mean, which on a right-skewed target differ systematically; both readings are reported. A third specification, LSTM-Gaussian, is the same network's deterministic forecast with an aleatoric-only interval, isolating what the passes buy.</w:t>
      </w:r>
    </w:p>
    <w:p>
      <w:pPr>
        <w:spacing w:after="160" w:line="320" w:lineRule="auto"/>
        <w:jc w:val="both"/>
      </w:pPr>
      <w:r>
        <w:t xml:space="preserve">Equations 3.4 and 3.5 state a Gaussian law on log realised variance, which induces a log-normal law on the variance scale; every interval, quantile and closed-form score below is read off it. The central interval at nominal level 1 − </w:t>
      </w:r>
      <w:r>
        <w:rPr>
          <w:i/>
        </w:rPr>
        <w:t>α</w:t>
      </w:r>
      <w:r>
        <w:t xml:space="preserve"> is</w:t>
      </w:r>
    </w:p>
    <w:p>
      <w:pPr>
        <w:tabs>
          <w:tab w:pos="4513" w:val="center"/>
          <w:tab w:pos="9026" w:val="right"/>
        </w:tabs>
        <w:spacing w:after="220" w:line="320" w:lineRule="auto"/>
      </w:pPr>
      <w: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tab/>
        <w:t>(3.6)</w:t>
      </w:r>
    </w:p>
    <w:p>
      <w:pPr>
        <w:spacing w:after="160" w:line="320" w:lineRule="auto"/>
        <w:jc w:val="both"/>
      </w:pPr>
      <w:r>
        <w:t xml:space="preserve">The quantile head states no law — its interval is the two trained quantiles themselves — which is why Section 3.7 scores the two families on a common grid before comparing them.</w:t>
      </w:r>
    </w:p>
    <w:p>
      <w:pPr>
        <w:spacing w:after="160" w:line="320"/>
        <w:jc w:val="both"/>
      </w:pPr>
      <w:r>
        <w:t xml:space="preserve">A final specification combines the two layers and is how the interaction between RQ2 and RQ3 is tested. Which regime architecture it inherits was fixed before that comparison was run: the one whose advantage is both large and carried by a formal test, not the one with the best point estimate in any single state, since the smaller states rest on few days.</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t xml:space="preserve">The data are split by time into three contiguous blocks — training, validation and test — not by random folds: cross-validation assumes exchangeable observations, and a randomly held-out volatility day sits between two the model has seen. The validation block carries every selection decision; none is taken on the test block. Over it the forecasts are produced on an anchored walk-forward, the estimation window growing from the start of the sample, because regimes recur and discarding an early crisis would leave a model with no instance of the behaviour it most needs to have seen. Appendix C.15 states what the block boundaries must satisfy.</w:t>
      </w:r>
    </w:p>
    <w:p>
      <w:pPr>
        <w:spacing w:after="160" w:line="320" w:lineRule="auto"/>
        <w:jc w:val="both"/>
      </w:pPr>
      <w:r>
        <w:t xml:space="preserve">What that walk-forward re-estimates differs by model. The econometric baselines are refitted on the expanding window at a fixed monthly cadence, carrying few parameters and costing nothing to update. The networks are estimated once, on all data preceding the test block, and held fixed, because refitting at every origin would confound the forecast changing because the model has seen more data with its changing because a stochastic optimiser has landed elsewhere.</w:t>
      </w:r>
    </w:p>
    <w:p>
      <w:pPr>
        <w:spacing w:after="160" w:line="320" w:lineRule="auto"/>
        <w:jc w:val="both"/>
      </w:pPr>
      <w:r>
        <w:t xml:space="preserve">Both protocols are leakage-free, and the asymmetry runs against the networks: the baselines absorb the out-of-sample period as it unfolds, the networks see none of it. A network that wins under this protocol wins conservatively; one that loses far from its training window cannot be told apart from one whose training window has gone stale, a sensitivity Chapter 4 reports.</w:t>
      </w:r>
    </w:p>
    <w:p>
      <w:pPr>
        <w:spacing w:after="160" w:line="320" w:lineRule="auto"/>
        <w:jc w:val="both"/>
      </w:pPr>
      <w:r>
        <w:t xml:space="preserve">The regime model's window is shorter still: fitted on the training block alone, its posterior filtered forward without refitting, those same rows carrying the selection of Section 3.3. The regime signal at any forecast origin was therefore estimated from strictly less information than the network consuming it.</w:t>
      </w:r>
    </w:p>
    <w:p>
      <w:pPr>
        <w:spacing w:after="160" w:line="320"/>
        <w:jc w:val="both"/>
      </w:pPr>
      <w:r>
        <w:t xml:space="preserve">Free quantities are chosen by exhaustive grid search, each combination trained on the training block and scored on the validation block; with three swept parameters every candidate and its score can be reported, so the choice is auditable rather than asserted (Bergstra and Bengio, 2012). Appendix C.3 states the grid, what each hyperparameter controls, how it is selected and the expected effect of increasing it.</w:t>
      </w:r>
    </w:p>
    <w:p>
      <w:pPr>
        <w:spacing w:after="160" w:line="320"/>
        <w:jc w:val="both"/>
      </w:pPr>
      <w:r>
        <w:t xml:space="preserve">One unswept decision is substantive: the dropout rate is fixed because it also generates the stochastic passes of Section 3.5, so tuning it on point loss would silently tune interval width, letting RQ1's selection decide RQ3's answer. Leakage discipline is enforced at six further points, listed in Appendix C.15; with them, no quantity entering a forecast for day t was computed with knowledge of any observation dated t or later.</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t xml:space="preserve">Every model is scored on the same held-out block and dates, used once, so the losses are paired as the significance tests require. Appendix C.14 lists the criteria and the question each answers and Appendix C.4 the settings at which each was run; most are conventional, while two depart from standard practice and are defined below. Interval criteria are reported at 90% and 95% for the methods stating a predictive law and at 90% alone for the quantile head, the only level at which the two uncertainty methods are comparable.</w:t>
      </w:r>
    </w:p>
    <w:p>
      <w:pPr>
        <w:spacing w:after="160" w:line="320"/>
        <w:jc w:val="both"/>
      </w:pPr>
      <w: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matching the asymmetric cost Chapter 1 identifies.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tab/>
        <w:t>(3.7)</w:t>
      </w:r>
    </w:p>
    <w:p>
      <w:pPr>
        <w:spacing w:after="160" w:line="320"/>
        <w:jc w:val="both"/>
      </w:pPr>
      <w:r>
        <w:t xml:space="preserve">This form subtracts QLIKE's value at a perfect forecast, so the loss is zero there; it is a Bregman divergence rather than a different loss, so every ranking and test statistic is unchanged.</w:t>
      </w:r>
    </w:p>
    <w:p>
      <w:pPr>
        <w:spacing w:after="160" w:line="320"/>
        <w:jc w:val="both"/>
      </w:pPr>
      <w:r>
        <w:t xml:space="preserve">The second departure concerns subsample coverage. A model under-covering globally fails a nominal-level test on every subsample with power, so a rejection there is evidence about its overall level rather than about the subsample. The quantity isolating a subsample is the difference in violation rates between it and the rest, the indicator being measurable at the previous close:</w:t>
      </w:r>
    </w:p>
    <w:p>
      <w:pPr>
        <w:tabs>
          <w:tab w:val="center" w:pos="4513"/>
          <w:tab w:val="right" w:pos="9026"/>
        </w:tabs>
        <w:spacing w:after="40" w:before="220" w:line="320"/>
      </w:pPr>
      <w: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tab/>
        <w:t>(3.8)</w:t>
      </w:r>
    </w:p>
    <w:p>
      <w:pPr>
        <w:spacing w:after="160" w:line="320"/>
        <w:jc w:val="both"/>
      </w:pPr>
      <w:r>
        <w:t xml:space="preserve">That difference is tested as the coefficient on the indicator with a Newey–West HAC variance, a regime indicator being persistent by construction; the family then takes the Holm correction (Holm, 1979). Coverage and width are reported together, both tails separately as well as pooled.</w:t>
      </w:r>
    </w:p>
    <w:p>
      <w:pPr>
        <w:spacing w:after="160" w:line="320"/>
        <w:jc w:val="both"/>
      </w:pPr>
      <w:r>
        <w:t xml:space="preserve">The same reasoning governs any conditional test of when violations occur: the dynamic-quantile regression contains a constant through which a globally mis-levelled interval rejects whatever the conditioner does, so each such test is run incrementally, asking whether the conditioner adds explanatory power to a specification already carrying the level and the hit's own lags.</w:t>
      </w:r>
    </w:p>
    <w:p>
      <w:pPr>
        <w:spacing w:after="160" w:line="320"/>
        <w:jc w:val="both"/>
      </w:pPr>
      <w:r>
        <w:t xml:space="preserve">Two qualifications attach to the conditional predictive-ability test. Its asymptotics assume a finite estimation window, which the networks satisfy and the expanding-window baselines do not, so one side of every deep-versus-econometric pair sits outside the stated conditions. Its long-run covariance is mean-centred, making the test mildly over-sized; centring is retained because the pairwise test uses it, and Chapter 4 measures the effect.</w:t>
      </w:r>
    </w:p>
    <w:p>
      <w:pPr>
        <w:spacing w:after="160" w:line="320"/>
        <w:jc w:val="both"/>
      </w:pPr>
      <w:r>
        <w:t xml:space="preserve">One criterion is not computed the same way for every model. A parametric predictive law gives the continuous ranked probability score in closed form; a set of quantiles gives an approximation that, on a three-point grid, understates it materially. Every method is therefore scored a second time on a common grid, and the closed form is quoted only within the parametric family.</w:t>
      </w:r>
    </w:p>
    <w:p>
      <w:pPr>
        <w:spacing w:after="160" w:line="320"/>
        <w:jc w:val="both"/>
      </w:pPr>
      <w:r>
        <w:t xml:space="preserve">One further quantity is a measurement rather than a test: if multiplying a fitted predictive spread by a constant improves a proper score, the spread was wrong by about that factor. It is found on the evaluation window itself, so it describes the shortfall rather than correcting it.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t xml:space="preserve">This section states what the method requires of a machine rather than what it happened to run on; Appendix C.5 gives the minimum configuration. The requirement is modest by design and deployment smaller still, so the operational constraint is the availability of the daily realised measure rather than computation. Every model is estimated and evaluated locally on a general-purpose processor, so no external service is called and no data leaves the machine. What the method does require is acquisition: the price series and the realised measure must be cached before anything above runs, and a discontinued source archived rather than fetched on demand.</w:t>
      </w:r>
    </w:p>
    <w:p>
      <w:pPr>
        <w:spacing w:after="160" w:line="320"/>
        <w:jc w:val="both"/>
      </w:pPr>
      <w:r>
        <w:t xml:space="preserve">Reproducibility rests on four measures: every stochastic component is seeded, including the dropout masks; every dependency is pinned in a lock file; one script regenerates every artefact in dependency order; and outputs are written to a versioned directory treated as the source of truth. Pinning is not a formality — the interpreter version is part of the specification, since a rebuild under another may not return the committed values. The implementation and the configuration behind each reported value are published in a public repository cited in Appendix C.5.</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t xml:space="preserve">RQ4 asks whether the answers to RQ1–RQ3 are properties of the method or of the market it was developed on. It is answered on a deliberately reduced design, and the reduction is what makes it a check rather than a second study: the econometric baselines and a single deep model, on a target constructed identically, under the same losses and tests. That model is the regime-conditioned architecture chosen by the rule of Section 3.5, so it need not be the top-ranked model on the primary asset.</w:t>
      </w:r>
    </w:p>
    <w:p>
      <w:pPr>
        <w:spacing w:after="160" w:line="320"/>
        <w:jc w:val="both"/>
      </w:pPr>
      <w:r>
        <w:t xml:space="preserve">Three requirements make that check meaningful, and Appendix C.15 records them: the regime model is re-estimated on each asset rather than carried across, the auxiliary implied-volatility input is dropped wherever the available index prices options on a different market, and the calendar join of Section 3.2 yields a different sample per asset, whose lost rows are reported.</w:t>
      </w:r>
    </w:p>
    <w:p>
      <w:pPr>
        <w:spacing w:after="160" w:line="320"/>
        <w:jc w:val="both"/>
      </w:pPr>
      <w:r>
        <w:t xml:space="preserve">What the design can establish is bounded. Agreement across markets is evidence that a finding is not an artefact of one series; disagreement identifies it as market-specific without saying which feature is responsible, and where the evaluation windows overlap, agreement is not independent evidence either.</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t xml:space="preserve">A design is only as credible as its account of what could undermine it. Table 3.5 sets out the threats, the mitigation adopted for each and what remains; some are closed structurally, others only bounded or declared.</w:t>
      </w:r>
    </w:p>
    <w:p>
      <w:pPr>
        <w:pStyle w:val="Caption"/>
        <w:keepNext/>
      </w:pPr>
      <w: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(Sections 3.3,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so dependence on it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Initialisation variance in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the leading models refitted across a set of seeds</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where the seed spread exceeds a pooled gap, that ranking is unresolved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 single frequency;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Daily frequency untested elsewhere; overlapping windows, so agreement is not independent evidence</w:t>
            </w:r>
          </w:p>
        </w:tc>
      </w:tr>
    </w:tbl>
    <w:p>
      <w:pPr>
        <w:spacing w:after="160" w:line="320"/>
        <w:jc w:val="both"/>
      </w:pPr>
      <w: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Under this protocol, on this market and window, the design can determine whether regime conditioning and an uncertainty layer improve forecasts against baselines chosen to close off the competing explanations, but not that those findings transfer elsewhere.</w:t>
      </w:r>
    </w:p>
    <w:p>
      <w:pPr>
        <w:spacing w:after="160" w:line="320"/>
        <w:jc w:val="both"/>
      </w:pPr>
      <w:r>
        <w:t xml:space="preserve">The ethical position follows from the data. Both sources are publicly published market aggregates, so no personal data is processed and no privacy obligation arises, and fairness in the sense the machine-learning literature uses it does not apply. What does apply is an asymmetry of cost: an interval that is too narrow understates risk, and that cost falls on whoever bears the exposure rather than on whoever fits the model — which is why calibration is reported beside accuracy, and by state.</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t xml:space="preserve">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back to the objectives of Section 1.5 and forward to specific evidence: RQ1 to the QLIKE ranking with its Diebold–Mariano tests and the Model Confidence Set, RQ2 to the Giacomini–White test and the per-state breakdown, RQ3 to coverage, width, the proper scores and the interval backtests, and RQ4 to the reduced replication of Section 3.9.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pPr>
        <w:spacing w:after="160" w:line="320" w:lineRule="auto"/>
        <w:ind w:left="567" w:hanging="567"/>
        <w:jc w:val="left"/>
      </w:pPr>
      <w:r>
        <w:t xml:space="preserve">Bergstra, J. and Bengio, Y., 2012. Random search for hyper-parameter optimization. </w:t>
      </w:r>
      <w:r>
        <w:rPr>
          <w:i/>
        </w:rPr>
        <w:t>Journal of Machine Learning Research</w:t>
      </w:r>
      <w:r>
        <w:t>, 13(10), pp.281–305. https://jmlr.org/papers/v13/bergstra12a.html</w:t>
      </w:r>
    </w:p>
    <w:p>
      <w:pPr>
        <w:spacing w:after="160" w:line="320" w:lineRule="auto"/>
        <w:ind w:left="567" w:hanging="567"/>
        <w:jc w:val="left"/>
      </w:pPr>
      <w:r>
        <w:t xml:space="preserve">Bollerslev, T., 1986. Generalized autoregressive conditional heteroskedasticity. </w:t>
      </w:r>
      <w:r>
        <w:rPr>
          <w:i/>
        </w:rPr>
        <w:t>Journal of Econometrics</w:t>
      </w:r>
      <w:r>
        <w:t>, 31(3), pp.307–327. https://doi.org/10.1016/0304-4076(86)90063-1</w:t>
      </w:r>
    </w:p>
    <w:p>
      <w:pPr>
        <w:spacing w:after="160" w:line="320" w:lineRule="auto"/>
        <w:ind w:left="567" w:hanging="567"/>
        <w:jc w:val="left"/>
      </w:pPr>
      <w:r>
        <w:t xml:space="preserve">Christoffersen, P.F., 1998. Evaluating interval forecasts. </w:t>
      </w:r>
      <w:r>
        <w:rPr>
          <w:i/>
        </w:rPr>
        <w:t>International Economic Review</w:t>
      </w:r>
      <w:r>
        <w:t>, 39(4), pp.841–862. https://doi.org/10.2307/2527341</w:t>
      </w:r>
    </w:p>
    <w:p>
      <w:pPr>
        <w:spacing w:after="160" w:line="32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pPr>
        <w:spacing w:after="160" w:line="32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pPr>
        <w:spacing w:after="160" w:line="320" w:lineRule="auto"/>
        <w:ind w:left="567" w:hanging="567"/>
        <w:jc w:val="left"/>
      </w:pPr>
      <w:r>
        <w:t xml:space="preserve">Duan, N., 1983. Smearing estimate: a nonparametric retransformation method. </w:t>
      </w:r>
      <w:r>
        <w:rPr>
          <w:i/>
        </w:rPr>
        <w:t>Journal of the American Statistical Association</w:t>
      </w:r>
      <w:r>
        <w:t>, 78(383), pp.605–610. https://doi.org/10.1080/01621459.1983.10478017</w:t>
      </w:r>
    </w:p>
    <w:p>
      <w:pPr>
        <w:spacing w:after="160" w:line="32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pPr>
        <w:spacing w:after="160" w:line="32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pPr>
        <w:spacing w:after="160" w:line="320" w:lineRule="auto"/>
        <w:ind w:left="567" w:hanging="567"/>
        <w:jc w:val="left"/>
      </w:pPr>
      <w:r>
        <w:t xml:space="preserve">Giacomini, R. and White, H., 2006. Tests of conditional predictive ability. </w:t>
      </w:r>
      <w:r>
        <w:rPr>
          <w:i/>
        </w:rPr>
        <w:t>Econometrica</w:t>
      </w:r>
      <w:r>
        <w:t>, 74(6), pp.1545–1578. https://doi.org/10.1111/j.1468-0262.2006.00718.x</w:t>
      </w:r>
    </w:p>
    <w:p>
      <w:pPr>
        <w:spacing w:after="160" w:line="32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r>
        <w:t>https://doi.org/10.1198/016214506000001437</w:t>
      </w:r>
    </w:p>
    <w:p>
      <w:pPr>
        <w:spacing w:after="160" w:line="32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pPr>
        <w:spacing w:after="160" w:line="320" w:lineRule="auto"/>
        <w:ind w:left="567" w:hanging="567"/>
        <w:jc w:val="left"/>
      </w:pPr>
      <w:r>
        <w:t xml:space="preserve">Hansen, P.R., Lunde, A. and Nason, J.M., 2011. The model confidence set. </w:t>
      </w:r>
      <w:r>
        <w:rPr>
          <w:i/>
        </w:rPr>
        <w:t>Econometrica</w:t>
      </w:r>
      <w:r>
        <w:t>, 79(2), pp.453–497. https://doi.org/10.3982/ECTA5771</w:t>
      </w:r>
    </w:p>
    <w:p>
      <w:pPr>
        <w:spacing w:after="160" w:line="320" w:lineRule="auto"/>
        <w:ind w:left="567" w:hanging="567"/>
        <w:jc w:val="left"/>
      </w:pPr>
      <w:r>
        <w:t xml:space="preserve">Harvey, D., Leybourne, S. and Newbold, P., 1997. Testing the equality of prediction mean squared errors. </w:t>
      </w:r>
      <w:r>
        <w:rPr>
          <w:i/>
        </w:rPr>
        <w:t>International Journal of Forecasting</w:t>
      </w:r>
      <w:r>
        <w:t>, 13(2), pp.281–291. https://doi.org/10.1016/S0169-2070(96)00719-4</w:t>
      </w:r>
    </w:p>
    <w:p>
      <w:pPr>
        <w:spacing w:after="160" w:line="320" w:lineRule="auto"/>
        <w:ind w:left="567" w:hanging="567"/>
        <w:jc w:val="left"/>
      </w:pPr>
      <w:r>
        <w:t xml:space="preserve">Hochreiter, S. and Schmidhuber, J., 1997. </w:t>
      </w:r>
      <w:r>
        <w:t xml:space="preserve">Long short-term memory. </w:t>
      </w:r>
      <w:r>
        <w:rPr>
          <w:i/>
        </w:rPr>
        <w:t>Neural Computation</w:t>
      </w:r>
      <w:r>
        <w:t>, 9(8), pp.1735–1780. https://doi.org/10.1162/neco.1997.9.8.1735</w:t>
      </w:r>
    </w:p>
    <w:p>
      <w:pPr>
        <w:spacing w:after="160" w:line="320" w:lineRule="auto"/>
        <w:ind w:left="567" w:hanging="567"/>
        <w:jc w:val="left"/>
      </w:pPr>
      <w:r>
        <w:t xml:space="preserve">Holm, S., 1979. A simple sequentially rejective multiple test procedure. </w:t>
      </w:r>
      <w:r>
        <w:rPr>
          <w:i/>
        </w:rPr>
        <w:t>Scandinavian Journal of Statistics</w:t>
      </w:r>
      <w:r>
        <w:t>, 6(2), pp.65–70.</w:t>
      </w:r>
    </w:p>
    <w:p>
      <w:pPr>
        <w:spacing w:after="160" w:line="320" w:lineRule="auto"/>
        <w:ind w:left="567" w:hanging="567"/>
        <w:jc w:val="left"/>
      </w:pPr>
      <w:r>
        <w:t xml:space="preserve">Jacobs, R.A., Jordan, M.I., Nowlan, S.J. and Hinton, G.E., 1991. Adaptive mixtures of local experts. </w:t>
      </w:r>
      <w:r>
        <w:rPr>
          <w:i/>
        </w:rPr>
        <w:t>Neural Computation</w:t>
      </w:r>
      <w:r>
        <w:t>, 3(1), pp.79–87. https://doi.org/10.1162/neco.1991.3.1.79</w:t>
      </w:r>
    </w:p>
    <w:p>
      <w:pPr>
        <w:spacing w:after="160" w:line="320" w:lineRule="auto"/>
        <w:ind w:left="567" w:hanging="567"/>
        <w:jc w:val="left"/>
      </w:pPr>
      <w:r>
        <w:t xml:space="preserve">Koenker, R. and Bassett, G., 1978. Regression quantiles. </w:t>
      </w:r>
      <w:r>
        <w:rPr>
          <w:i/>
        </w:rPr>
        <w:t>Econometrica</w:t>
      </w:r>
      <w:r>
        <w:t>, 46(1), pp.33–50. https://doi.org/10.2307/1913643</w:t>
      </w:r>
    </w:p>
    <w:p>
      <w:pPr>
        <w:spacing w:after="160" w:line="320" w:lineRule="auto"/>
        <w:ind w:left="567" w:hanging="567"/>
        <w:jc w:val="left"/>
      </w:pPr>
      <w:r>
        <w:t xml:space="preserve">Kupiec, P.H., 1995. Techniques for verifying the accuracy of risk measurement models. </w:t>
      </w:r>
      <w:r>
        <w:rPr>
          <w:i/>
        </w:rPr>
        <w:t>The Journal of Derivatives</w:t>
      </w:r>
      <w:r>
        <w:t>, 3(2), pp.73–84. https://doi.org/10.3905/jod.1995.407942</w:t>
      </w:r>
    </w:p>
    <w:p>
      <w:pPr>
        <w:spacing w:after="160" w:line="32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r>
        <w:t>https://doi.org/10.1098/rsta.2020.0209</w:t>
      </w:r>
    </w:p>
    <w:p>
      <w:pPr>
        <w:spacing w:after="160" w:line="32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pPr>
        <w:spacing w:after="160" w:line="320" w:lineRule="auto"/>
        <w:ind w:left="567" w:hanging="567"/>
        <w:jc w:val="left"/>
      </w:pPr>
      <w:r>
        <w:t xml:space="preserve">Liu, L.Y., Patton, A.J. and Sheppard, K., 2015. Does anything beat 5-minute RV? A comparison of realized measures across multiple asset classes. </w:t>
      </w:r>
      <w:r>
        <w:rPr>
          <w:i/>
        </w:rPr>
        <w:t>Journal of Econometrics</w:t>
      </w:r>
      <w:r>
        <w:t>, 187(1), pp.293–311. https://doi.org/10.1016/j.jeconom.2015.02.008</w:t>
      </w:r>
    </w:p>
    <w:p>
      <w:pPr>
        <w:spacing w:after="160" w:line="320" w:lineRule="auto"/>
        <w:ind w:left="567" w:hanging="567"/>
        <w:jc w:val="left"/>
      </w:pPr>
      <w:r>
        <w:t xml:space="preserve">Nelson, D.B., 1991. Conditional heteroskedasticity in asset returns: a new approach. </w:t>
      </w:r>
      <w:r>
        <w:rPr>
          <w:i/>
        </w:rPr>
        <w:t>Econometrica</w:t>
      </w:r>
      <w:r>
        <w:t>, 59(2), pp.347–370. https://doi.org/10.2307/2938260</w:t>
      </w:r>
    </w:p>
    <w:p>
      <w:pPr>
        <w:spacing w:after="160" w:line="320" w:lineRule="auto"/>
        <w:ind w:left="567" w:hanging="567"/>
        <w:jc w:val="left"/>
      </w:pPr>
      <w:r>
        <w:t xml:space="preserve">Newey, W.K. and West, K.D., 1987. A simple, positive semi-definite, heteroskedasticity and autocorrelation consistent covariance matrix. </w:t>
      </w:r>
      <w:r>
        <w:rPr>
          <w:i/>
        </w:rPr>
        <w:t>Econometrica</w:t>
      </w:r>
      <w:r>
        <w:t>, 55(3), pp.703–708. https://doi.org/10.2307/1913610</w:t>
      </w:r>
    </w:p>
    <w:p>
      <w:pPr>
        <w:spacing w:after="160" w:line="32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pPr>
        <w:spacing w:after="160" w:line="32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pPr>
        <w:spacing w:after="160" w:line="320" w:lineRule="auto"/>
        <w:ind w:left="567" w:hanging="567"/>
        <w:jc w:val="left"/>
      </w:pPr>
      <w:r>
        <w:t xml:space="preserve">Politis, D.N. and Romano, J.P., 1994. The stationary bootstrap. </w:t>
      </w:r>
      <w:r>
        <w:rPr>
          <w:i/>
        </w:rPr>
        <w:t>Journal of the American Statistical Association</w:t>
      </w:r>
      <w:r>
        <w:t>, 89(428), pp.1303–1313. https://doi.org/10.1080/01621459.1994.10476870</w:t>
      </w:r>
    </w:p>
    <w:p>
      <w:pPr>
        <w:spacing w:after="160" w:line="32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pPr>
        <w:spacing w:after="160" w:line="32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