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val="0"/>
        <w:numPr>
          <w:ilvl w:val="0"/>
          <w:numId w:val="0"/>
        </w:numPr>
        <w:jc w:val="both"/>
        <w:rPr>
          <w:rFonts w:hint="eastAsia"/>
          <w:b/>
          <w:bCs/>
          <w:lang w:val="en-US" w:eastAsia="zh-CN"/>
        </w:rPr>
      </w:pPr>
    </w:p>
    <w:p>
      <w:pPr>
        <w:pStyle w:val="2"/>
        <w:jc w:val="center"/>
        <w:rPr>
          <w:rFonts w:hint="eastAsia"/>
          <w:lang w:val="en-US" w:eastAsia="zh-CN"/>
        </w:rPr>
      </w:pPr>
      <w:r>
        <w:rPr>
          <w:rFonts w:hint="eastAsia"/>
          <w:lang w:val="en-US" w:eastAsia="zh-CN"/>
        </w:rPr>
        <w:t>Bingo Coin ICO scheme.</w:t>
      </w:r>
      <w:bookmarkStart w:id="0" w:name="_GoBack"/>
      <w:bookmarkEnd w:id="0"/>
    </w:p>
    <w:p>
      <w:pPr>
        <w:widowControl w:val="0"/>
        <w:numPr>
          <w:ilvl w:val="0"/>
          <w:numId w:val="0"/>
        </w:numPr>
        <w:jc w:val="both"/>
        <w:rPr>
          <w:rFonts w:hint="eastAsia"/>
          <w:b/>
          <w:bCs/>
          <w:lang w:val="en-US" w:eastAsia="zh-CN"/>
        </w:rPr>
      </w:pPr>
      <w:r>
        <w:rPr>
          <w:rFonts w:hint="eastAsia"/>
          <w:b/>
          <w:bCs/>
          <w:lang w:val="en-US" w:eastAsia="zh-CN"/>
        </w:rPr>
        <w:t>Adhering to the vision of Bingo Coin ecology, we will adopt a private placement scheme which is completely different from traditional ICO, which will be used to execute the will of real Bingo Coin.</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At the start of Bingo Coin, we will set up the BOC committee. Members of the committee will have the right to propose, review and supervise. These include proposals for the use of scenarios, the consideration of the scene, the size of the prize pool, the supervision of the award and the award of the award. Moreover, the committee will enjoy the sharing of all the usage scenarios and the feeding of Bingo Coin. In the future development of BOC, it plays a key role in the development. Every six months the committee will hold a meeting (where the meeting can be held in person, but the video meeting will be held in person). It will be used for the proposal and consideration of BOC's semi-annual growth. The council will broadcast live online to all BOCER worldwide in the BOC community.</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Private phase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1. In the private equity stage, we will invest in the number of ETH (BTC) by investors and elect 11 members of the Bingo Coin committee. Have the power mentioned previously, and bank's support for its support.</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2. Members of the committee will also have their tokens, which will be proportionately higher than the public offering stage.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3. The election of the committee is held every 9 months, and the voters are elected by all the holders of BOC to vote in BOC.</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After the successful election of 4.11 members of the committee, unelected private investors will be the first generation B partners.</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5. Members of the election committee, we only refer to the number of "ETH" (BTC) in which a purse is entered, and those who participate in the election may raise their own election, or participate in a collective election.</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6. By the collective or raise the elected members of the committee, Bingo "rights and interests, in order to ensure the groups or individuals elected members to the number of community, the investment proportion to Bingo", the members have to deliver on the promises of its supporters, and the mutual supervision, audit, executive committee.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7. Ratio of tokens: 1eth: 2200BOC 1BTC: 40000BOC.</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Public offering stage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1. The public offering stage will be open to the public's fundraising channels, all based on the premise of voluntarization and autonomy.</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2. In the public offering stage, all the progress of BOC and the VC partners, cooperative companies and the amount of fundraising will be open to the public and follow the growth process of BOC in real time.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3.BOC is trying to establish a balance in the new world. The time of BOC's exchange must be the time for BOC to play its core value. This consideration is to dispel the confusion about the project and the confusion of the recent market ICO and the running of many teams. Everything in BOC will be based on absolute fairness on both sides of the balance. BOC is reluctant to let the capital market break the balance, and we will launch all the exchanges after the completion of the BOC ecology.</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4. The scrip can also be exchanged for ETH during the period when it is not on the exchange.</w:t>
      </w:r>
    </w:p>
    <w:p>
      <w:pPr>
        <w:widowControl w:val="0"/>
        <w:numPr>
          <w:ilvl w:val="0"/>
          <w:numId w:val="0"/>
        </w:numPr>
        <w:jc w:val="both"/>
        <w:rPr>
          <w:rFonts w:hint="eastAsia"/>
          <w:b/>
          <w:bCs/>
          <w:lang w:val="en-US" w:eastAsia="zh-CN"/>
        </w:rPr>
      </w:pPr>
    </w:p>
    <w:p>
      <w:pPr>
        <w:widowControl w:val="0"/>
        <w:numPr>
          <w:ilvl w:val="0"/>
          <w:numId w:val="1"/>
        </w:numPr>
        <w:tabs>
          <w:tab w:val="left" w:pos="312"/>
        </w:tabs>
        <w:jc w:val="both"/>
        <w:rPr>
          <w:rFonts w:hint="eastAsia"/>
          <w:b/>
          <w:bCs/>
          <w:lang w:val="en-US" w:eastAsia="zh-CN"/>
        </w:rPr>
      </w:pPr>
      <w:r>
        <w:rPr>
          <w:rFonts w:hint="eastAsia"/>
          <w:b/>
          <w:bCs/>
          <w:lang w:val="en-US" w:eastAsia="zh-CN"/>
        </w:rPr>
        <w:t>Token ratio: 1eth: 2000btc :36000BOC.</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On-line process:</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1. Roadshow period: May 5th, 2018 -- no. 10 (the road show of each country will be presented in the way of LIVE, and the United States, South Korea and Japan have been established)</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2. Private subscription period: April 5, 2018 to June 5, 2018.</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3. Public offering subscription period: May 5, 2018 to June 5, 2018.</w:t>
      </w:r>
    </w:p>
    <w:p>
      <w:pPr>
        <w:widowControl w:val="0"/>
        <w:numPr>
          <w:ilvl w:val="0"/>
          <w:numId w:val="0"/>
        </w:numPr>
        <w:tabs>
          <w:tab w:val="clear" w:pos="312"/>
        </w:tabs>
        <w:jc w:val="both"/>
        <w:rPr>
          <w:rFonts w:hint="eastAsia"/>
          <w:b/>
          <w:bCs/>
          <w:lang w:val="en-US" w:eastAsia="zh-CN"/>
        </w:rPr>
      </w:pPr>
    </w:p>
    <w:p>
      <w:pPr>
        <w:widowControl w:val="0"/>
        <w:numPr>
          <w:ilvl w:val="0"/>
          <w:numId w:val="2"/>
        </w:numPr>
        <w:jc w:val="both"/>
        <w:rPr>
          <w:rFonts w:hint="eastAsia"/>
          <w:b/>
          <w:bCs/>
          <w:lang w:val="en-US" w:eastAsia="zh-CN"/>
        </w:rPr>
      </w:pPr>
      <w:r>
        <w:rPr>
          <w:rFonts w:hint="eastAsia"/>
          <w:b/>
          <w:bCs/>
          <w:lang w:val="en-US" w:eastAsia="zh-CN"/>
        </w:rPr>
        <w:t>Application time: June 10, 2018.</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mond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655319">
    <w:nsid w:val="039D86D7"/>
    <w:multiLevelType w:val="singleLevel"/>
    <w:tmpl w:val="039D86D7"/>
    <w:lvl w:ilvl="0" w:tentative="1">
      <w:start w:val="1"/>
      <w:numFmt w:val="decimal"/>
      <w:lvlText w:val="%1."/>
      <w:lvlJc w:val="left"/>
      <w:pPr>
        <w:tabs>
          <w:tab w:val="left" w:pos="312"/>
        </w:tabs>
      </w:pPr>
    </w:lvl>
  </w:abstractNum>
  <w:abstractNum w:abstractNumId="1524638627">
    <w:nsid w:val="5AE023A3"/>
    <w:multiLevelType w:val="singleLevel"/>
    <w:tmpl w:val="5AE023A3"/>
    <w:lvl w:ilvl="0" w:tentative="1">
      <w:start w:val="4"/>
      <w:numFmt w:val="decimal"/>
      <w:suff w:val="space"/>
      <w:lvlText w:val="%1."/>
      <w:lvlJc w:val="left"/>
    </w:lvl>
  </w:abstractNum>
  <w:num w:numId="1">
    <w:abstractNumId w:val="60655319"/>
  </w:num>
  <w:num w:numId="2">
    <w:abstractNumId w:val="1524638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573EC"/>
    <w:rsid w:val="258139D8"/>
    <w:rsid w:val="402C61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Abby</dc:creator>
  <cp:lastModifiedBy>Administrator</cp:lastModifiedBy>
  <dcterms:modified xsi:type="dcterms:W3CDTF">2018-04-25T07:05:49Z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