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widowControl w:val="0"/>
        <w:numPr>
          <w:ilvl w:val="0"/>
          <w:numId w:val="0"/>
        </w:numPr>
        <w:jc w:val="both"/>
        <w:rPr>
          <w:rFonts w:hint="eastAsia"/>
          <w:b/>
          <w:bCs/>
          <w:lang w:val="en-US" w:eastAsia="zh-CN"/>
        </w:rPr>
      </w:pPr>
    </w:p>
    <w:p>
      <w:pPr>
        <w:pStyle w:val="2"/>
        <w:jc w:val="center"/>
        <w:rPr>
          <w:rFonts w:hint="eastAsia"/>
          <w:lang w:val="en-US" w:eastAsia="zh-CN"/>
        </w:rPr>
      </w:pPr>
      <w:r>
        <w:rPr>
          <w:rFonts w:hint="eastAsia"/>
          <w:lang w:val="en-US" w:eastAsia="zh-CN"/>
        </w:rPr>
        <w:t>Bingo Coin ICO scheme.</w:t>
      </w:r>
    </w:p>
    <w:p>
      <w:pPr>
        <w:widowControl w:val="0"/>
        <w:numPr>
          <w:ilvl w:val="0"/>
          <w:numId w:val="0"/>
        </w:numPr>
        <w:jc w:val="both"/>
        <w:rPr>
          <w:rFonts w:hint="eastAsia"/>
          <w:b/>
          <w:bCs/>
          <w:lang w:val="en-US" w:eastAsia="zh-CN"/>
        </w:rPr>
      </w:pPr>
      <w:r>
        <w:rPr>
          <w:rFonts w:hint="eastAsia"/>
          <w:b/>
          <w:bCs/>
          <w:lang w:val="en-US" w:eastAsia="zh-CN"/>
        </w:rPr>
        <w:t>Adhering to the vision of Bingo Coin ecology, we will adopt a private placement scheme which is completely different from traditional ICO, which will be used to execute the will of real Bingo Coin.</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At the start of Bingo Coin, we will set up the BOC committee. Members of the committee will have the right to propose, review and supervise. These include proposals for the use of scenarios, the consideration of the scene, the size of the prize pool, the supervision of the award and the award of the award. Moreover, the committee will enjoy the sharing of all the usage scenarios and the feeding of Bingo Coin. In the future development of BOC, it plays a key role in the development. Every six months the committee will hold a meeting (where the meeting can be held in person, but the video meeting will be held in person). It will be used for the proposal and consideration of BOC's semi-annual growth. The council will broadcast live online to all BOCER worldwide in the BOC community.</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Private phase</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1. In the private equity stage, we will invest in the number of ETH (BTC) by investors and elect 11 members of the Bingo Coin committee. Have the power mentioned previously, and bank's support for its support.</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2. Members of the committee will also have their tokens, which will be proportionately higher than the public offering stage.</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3. The election of the committee is held every 9 months, and the voters are elected by all the holders of BOC to vote in BOC.</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After the successful election of 4.11 members of the committee, unelected private investors will be the first generation B partners.</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5. Members of the election committee, we only refer to the number of "ETH" (BTC) in which a purse is entered, and those who participate in the election may raise their own election, or participate in a collective election.</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6. By the collective or raise the elected members of the committee, Bingo "rights and interests, in order to ensure the groups or individuals elected members to the number of community, the investment proportion to Bingo", the members have to deliver on the promises of its supporters, and the mutual supervision, audit, executive committee.</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7. Ratio of tokens: 1eth: 2400BOC 1BTC: 43200</w:t>
      </w:r>
      <w:bookmarkStart w:id="0" w:name="_GoBack"/>
      <w:bookmarkEnd w:id="0"/>
      <w:r>
        <w:rPr>
          <w:rFonts w:hint="eastAsia"/>
          <w:b/>
          <w:bCs/>
          <w:lang w:val="en-US" w:eastAsia="zh-CN"/>
        </w:rPr>
        <w:t>BOC.</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Public offering stage</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1. The public offering stage will be open to the public's fundraising channels, all based on the premise of voluntarization and autonomy.</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2. In the public offering stage, all the progress of BOC and the VC partners, cooperative companies and the amount of fundraising will be open to the public and follow the growth process of BOC in real time.</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3.BOC is trying to establish a balance in the new world. The time of BOC's exchange must be the time for BOC to play its core value. This consideration is to dispel the confusion about the project and the confusion of the recent market ICO and the running of many teams. Everything in BOC will be based on absolute fairness on both sides of the balance. BOC is reluctant to let the capital market break the balance, and we will launch all the exchanges after the completion of the BOC ecology.</w:t>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4. The scrip can also be exchanged for ETH during the period when it is not on the exchange.</w:t>
      </w:r>
    </w:p>
    <w:p>
      <w:pPr>
        <w:widowControl w:val="0"/>
        <w:numPr>
          <w:ilvl w:val="0"/>
          <w:numId w:val="0"/>
        </w:numPr>
        <w:jc w:val="both"/>
        <w:rPr>
          <w:rFonts w:hint="eastAsia"/>
          <w:b/>
          <w:bCs/>
          <w:lang w:val="en-US" w:eastAsia="zh-CN"/>
        </w:rPr>
      </w:pPr>
    </w:p>
    <w:p>
      <w:pPr>
        <w:widowControl w:val="0"/>
        <w:numPr>
          <w:ilvl w:val="0"/>
          <w:numId w:val="1"/>
        </w:numPr>
        <w:tabs>
          <w:tab w:val="left" w:pos="312"/>
        </w:tabs>
        <w:jc w:val="both"/>
        <w:rPr>
          <w:rFonts w:hint="eastAsia"/>
          <w:b/>
          <w:bCs/>
          <w:lang w:val="en-US" w:eastAsia="zh-CN"/>
        </w:rPr>
      </w:pPr>
      <w:r>
        <w:rPr>
          <w:rFonts w:hint="eastAsia"/>
          <w:b/>
          <w:bCs/>
          <w:lang w:val="en-US" w:eastAsia="zh-CN"/>
        </w:rPr>
        <w:t>Token ratio: 1eth: 2000btc :36000BOC.</w:t>
      </w:r>
    </w:p>
    <w:p>
      <w:pPr>
        <w:widowControl w:val="0"/>
        <w:numPr>
          <w:ilvl w:val="0"/>
          <w:numId w:val="0"/>
        </w:numPr>
        <w:tabs>
          <w:tab w:val="clear" w:pos="312"/>
        </w:tabs>
        <w:jc w:val="both"/>
        <w:rPr>
          <w:rFonts w:hint="eastAsia"/>
          <w:b/>
          <w:bCs/>
          <w:lang w:val="en-US" w:eastAsia="zh-CN"/>
        </w:rPr>
      </w:pPr>
    </w:p>
    <w:p>
      <w:pPr>
        <w:widowControl w:val="0"/>
        <w:numPr>
          <w:ilvl w:val="0"/>
          <w:numId w:val="0"/>
        </w:numPr>
        <w:tabs>
          <w:tab w:val="clear" w:pos="312"/>
        </w:tabs>
        <w:jc w:val="both"/>
        <w:rPr>
          <w:rFonts w:hint="eastAsia"/>
          <w:b/>
          <w:bCs/>
          <w:lang w:val="en-US" w:eastAsia="zh-CN"/>
        </w:rPr>
      </w:pPr>
    </w:p>
    <w:p>
      <w:pPr>
        <w:widowControl w:val="0"/>
        <w:numPr>
          <w:ilvl w:val="0"/>
          <w:numId w:val="0"/>
        </w:numPr>
        <w:tabs>
          <w:tab w:val="clear" w:pos="312"/>
        </w:tabs>
        <w:jc w:val="both"/>
        <w:rPr>
          <w:rFonts w:hint="eastAsia"/>
          <w:b/>
          <w:bCs/>
          <w:lang w:val="en-US" w:eastAsia="zh-CN"/>
        </w:rPr>
      </w:pPr>
    </w:p>
    <w:p>
      <w:pPr>
        <w:widowControl w:val="0"/>
        <w:numPr>
          <w:ilvl w:val="0"/>
          <w:numId w:val="0"/>
        </w:numPr>
        <w:tabs>
          <w:tab w:val="clear" w:pos="312"/>
        </w:tabs>
        <w:jc w:val="both"/>
        <w:rPr>
          <w:rFonts w:hint="eastAsia"/>
          <w:b/>
          <w:bCs/>
          <w:lang w:val="en-US" w:eastAsia="zh-CN"/>
        </w:rPr>
      </w:pPr>
      <w:r>
        <w:rPr>
          <w:rFonts w:hint="eastAsia"/>
          <w:b/>
          <w:bCs/>
          <w:lang w:val="en-US" w:eastAsia="zh-CN"/>
        </w:rPr>
        <w:t>On-line process:</w:t>
      </w:r>
    </w:p>
    <w:p>
      <w:pPr>
        <w:widowControl w:val="0"/>
        <w:numPr>
          <w:ilvl w:val="0"/>
          <w:numId w:val="0"/>
        </w:numPr>
        <w:tabs>
          <w:tab w:val="clear" w:pos="312"/>
        </w:tabs>
        <w:jc w:val="both"/>
        <w:rPr>
          <w:rFonts w:hint="eastAsia"/>
          <w:b/>
          <w:bCs/>
          <w:lang w:val="en-US" w:eastAsia="zh-CN"/>
        </w:rPr>
      </w:pPr>
    </w:p>
    <w:p>
      <w:pPr>
        <w:widowControl w:val="0"/>
        <w:numPr>
          <w:ilvl w:val="0"/>
          <w:numId w:val="0"/>
        </w:numPr>
        <w:tabs>
          <w:tab w:val="clear" w:pos="312"/>
        </w:tabs>
        <w:jc w:val="both"/>
        <w:rPr>
          <w:rFonts w:hint="eastAsia"/>
          <w:b/>
          <w:bCs/>
          <w:lang w:val="en-US" w:eastAsia="zh-CN"/>
        </w:rPr>
      </w:pPr>
    </w:p>
    <w:p>
      <w:pPr>
        <w:widowControl w:val="0"/>
        <w:numPr>
          <w:ilvl w:val="0"/>
          <w:numId w:val="0"/>
        </w:numPr>
        <w:tabs>
          <w:tab w:val="clear" w:pos="312"/>
        </w:tabs>
        <w:jc w:val="both"/>
        <w:rPr>
          <w:rFonts w:hint="eastAsia"/>
          <w:b/>
          <w:bCs/>
          <w:lang w:val="en-US" w:eastAsia="zh-CN"/>
        </w:rPr>
      </w:pPr>
    </w:p>
    <w:p>
      <w:pPr>
        <w:widowControl w:val="0"/>
        <w:numPr>
          <w:ilvl w:val="0"/>
          <w:numId w:val="0"/>
        </w:numPr>
        <w:tabs>
          <w:tab w:val="clear" w:pos="312"/>
        </w:tabs>
        <w:jc w:val="both"/>
        <w:rPr>
          <w:rFonts w:hint="eastAsia"/>
          <w:b/>
          <w:bCs/>
          <w:lang w:val="en-US" w:eastAsia="zh-CN"/>
        </w:rPr>
      </w:pPr>
      <w:r>
        <w:rPr>
          <w:rFonts w:hint="eastAsia"/>
          <w:b/>
          <w:bCs/>
          <w:lang w:val="en-US" w:eastAsia="zh-CN"/>
        </w:rPr>
        <w:t>1. Roadshow period: May 5th, 2018 -- no. 10 (the road show of each country will be presented in the way of LIVE, and the United States, South Korea and Japan have been established)</w:t>
      </w:r>
    </w:p>
    <w:p>
      <w:pPr>
        <w:widowControl w:val="0"/>
        <w:numPr>
          <w:ilvl w:val="0"/>
          <w:numId w:val="0"/>
        </w:numPr>
        <w:tabs>
          <w:tab w:val="clear" w:pos="312"/>
        </w:tabs>
        <w:jc w:val="both"/>
        <w:rPr>
          <w:rFonts w:hint="eastAsia"/>
          <w:b/>
          <w:bCs/>
          <w:lang w:val="en-US" w:eastAsia="zh-CN"/>
        </w:rPr>
      </w:pPr>
    </w:p>
    <w:p>
      <w:pPr>
        <w:widowControl w:val="0"/>
        <w:numPr>
          <w:ilvl w:val="0"/>
          <w:numId w:val="0"/>
        </w:numPr>
        <w:tabs>
          <w:tab w:val="clear" w:pos="312"/>
        </w:tabs>
        <w:jc w:val="both"/>
        <w:rPr>
          <w:rFonts w:hint="eastAsia"/>
          <w:b/>
          <w:bCs/>
          <w:lang w:val="en-US" w:eastAsia="zh-CN"/>
        </w:rPr>
      </w:pPr>
      <w:r>
        <w:rPr>
          <w:rFonts w:hint="eastAsia"/>
          <w:b/>
          <w:bCs/>
          <w:lang w:val="en-US" w:eastAsia="zh-CN"/>
        </w:rPr>
        <w:t>2. Private subscription period: April 5, 2018 to June 5, 2018.</w:t>
      </w:r>
    </w:p>
    <w:p>
      <w:pPr>
        <w:widowControl w:val="0"/>
        <w:numPr>
          <w:ilvl w:val="0"/>
          <w:numId w:val="0"/>
        </w:numPr>
        <w:tabs>
          <w:tab w:val="clear" w:pos="312"/>
        </w:tabs>
        <w:jc w:val="both"/>
        <w:rPr>
          <w:rFonts w:hint="eastAsia"/>
          <w:b/>
          <w:bCs/>
          <w:lang w:val="en-US" w:eastAsia="zh-CN"/>
        </w:rPr>
      </w:pPr>
    </w:p>
    <w:p>
      <w:pPr>
        <w:widowControl w:val="0"/>
        <w:numPr>
          <w:ilvl w:val="0"/>
          <w:numId w:val="0"/>
        </w:numPr>
        <w:tabs>
          <w:tab w:val="clear" w:pos="312"/>
        </w:tabs>
        <w:jc w:val="both"/>
        <w:rPr>
          <w:rFonts w:hint="eastAsia"/>
          <w:b/>
          <w:bCs/>
          <w:lang w:val="en-US" w:eastAsia="zh-CN"/>
        </w:rPr>
      </w:pPr>
      <w:r>
        <w:rPr>
          <w:rFonts w:hint="eastAsia"/>
          <w:b/>
          <w:bCs/>
          <w:lang w:val="en-US" w:eastAsia="zh-CN"/>
        </w:rPr>
        <w:t>3. Public offering subscription period: May 5, 2018 to June 5, 2018.</w:t>
      </w:r>
    </w:p>
    <w:p>
      <w:pPr>
        <w:widowControl w:val="0"/>
        <w:numPr>
          <w:ilvl w:val="0"/>
          <w:numId w:val="0"/>
        </w:numPr>
        <w:tabs>
          <w:tab w:val="clear" w:pos="312"/>
        </w:tabs>
        <w:jc w:val="both"/>
        <w:rPr>
          <w:rFonts w:hint="eastAsia"/>
          <w:b/>
          <w:bCs/>
          <w:lang w:val="en-US" w:eastAsia="zh-CN"/>
        </w:rPr>
      </w:pPr>
    </w:p>
    <w:p>
      <w:pPr>
        <w:widowControl w:val="0"/>
        <w:numPr>
          <w:ilvl w:val="0"/>
          <w:numId w:val="2"/>
        </w:numPr>
        <w:jc w:val="both"/>
        <w:rPr>
          <w:rFonts w:hint="eastAsia"/>
          <w:b/>
          <w:bCs/>
          <w:lang w:val="en-US" w:eastAsia="zh-CN"/>
        </w:rPr>
      </w:pPr>
      <w:r>
        <w:rPr>
          <w:rFonts w:hint="eastAsia"/>
          <w:b/>
          <w:bCs/>
          <w:lang w:val="en-US" w:eastAsia="zh-CN"/>
        </w:rPr>
        <w:t>Application time: June 10, 2018.</w:t>
      </w:r>
    </w:p>
    <w:p>
      <w:pPr>
        <w:numPr>
          <w:ilvl w:val="0"/>
          <w:numId w:val="0"/>
        </w:numPr>
        <w:tabs>
          <w:tab w:val="clear" w:pos="312"/>
        </w:tabs>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ond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60655319">
    <w:nsid w:val="039D86D7"/>
    <w:multiLevelType w:val="singleLevel"/>
    <w:tmpl w:val="039D86D7"/>
    <w:lvl w:ilvl="0" w:tentative="1">
      <w:start w:val="1"/>
      <w:numFmt w:val="decimal"/>
      <w:lvlText w:val="%1."/>
      <w:lvlJc w:val="left"/>
      <w:pPr>
        <w:tabs>
          <w:tab w:val="left" w:pos="312"/>
        </w:tabs>
      </w:pPr>
    </w:lvl>
  </w:abstractNum>
  <w:abstractNum w:abstractNumId="1524638627">
    <w:nsid w:val="5AE023A3"/>
    <w:multiLevelType w:val="singleLevel"/>
    <w:tmpl w:val="5AE023A3"/>
    <w:lvl w:ilvl="0" w:tentative="1">
      <w:start w:val="4"/>
      <w:numFmt w:val="decimal"/>
      <w:suff w:val="space"/>
      <w:lvlText w:val="%1."/>
      <w:lvlJc w:val="left"/>
    </w:lvl>
  </w:abstractNum>
  <w:num w:numId="1">
    <w:abstractNumId w:val="60655319"/>
  </w:num>
  <w:num w:numId="2">
    <w:abstractNumId w:val="15246386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5573EC"/>
    <w:rsid w:val="258139D8"/>
    <w:rsid w:val="402C6193"/>
    <w:rsid w:val="6B6F46A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Abby</dc:creator>
  <cp:lastModifiedBy>Administrator</cp:lastModifiedBy>
  <dcterms:modified xsi:type="dcterms:W3CDTF">2018-04-25T07:57:09Z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