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56E1" w14:textId="77777777" w:rsidR="00B02C5E" w:rsidRDefault="00B02C5E" w:rsidP="00B02C5E">
      <w:r>
        <w:t>1. Les lésions non-tumorales qui peuvent déterminer un syndrome tumoral hypophysaire sont les suivantes avec une exception:</w:t>
      </w:r>
    </w:p>
    <w:p w14:paraId="5499A2D8" w14:textId="77777777" w:rsidR="00B02C5E" w:rsidRDefault="00B02C5E" w:rsidP="00B02C5E">
      <w:r>
        <w:t>• a. les vestiges de la poche de Rathke</w:t>
      </w:r>
    </w:p>
    <w:p w14:paraId="25091FA6" w14:textId="77777777" w:rsidR="00B02C5E" w:rsidRDefault="00B02C5E" w:rsidP="00B02C5E">
      <w:r>
        <w:t>• b. les abcès hypophysaires</w:t>
      </w:r>
    </w:p>
    <w:p w14:paraId="6A0FDB59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c. les kystes arachnoïdiens</w:t>
      </w:r>
    </w:p>
    <w:p w14:paraId="7D5EE070" w14:textId="77777777" w:rsidR="00B02C5E" w:rsidRDefault="00B02C5E" w:rsidP="00B02C5E">
      <w:r>
        <w:t>• d. les granulomes hypophysaires</w:t>
      </w:r>
    </w:p>
    <w:p w14:paraId="3BD5133C" w14:textId="77777777" w:rsidR="00B02C5E" w:rsidRDefault="00B02C5E" w:rsidP="00B02C5E">
      <w:r>
        <w:t>• e. la sarcoïdose</w:t>
      </w:r>
    </w:p>
    <w:p w14:paraId="784FCA06" w14:textId="77777777" w:rsidR="00B02C5E" w:rsidRDefault="00B02C5E" w:rsidP="00B02C5E">
      <w:r>
        <w:t>2. La calcitonine:</w:t>
      </w:r>
    </w:p>
    <w:p w14:paraId="2806313B" w14:textId="77777777" w:rsidR="00B02C5E" w:rsidRDefault="00B02C5E" w:rsidP="00B02C5E">
      <w:r>
        <w:t>• a. est sécrétée par les glandes parathyroïdes</w:t>
      </w:r>
    </w:p>
    <w:p w14:paraId="109B7163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b. est sécrétée par les cellules C parafolliculaires thyroïdiennes</w:t>
      </w:r>
    </w:p>
    <w:p w14:paraId="3659AB59" w14:textId="77777777" w:rsidR="00B02C5E" w:rsidRDefault="00B02C5E" w:rsidP="00B02C5E">
      <w:r>
        <w:t>• c. est sécrétée par les cellules folliculaires thyroïdiennes</w:t>
      </w:r>
    </w:p>
    <w:p w14:paraId="290F3AA4" w14:textId="77777777" w:rsidR="00B02C5E" w:rsidRDefault="00B02C5E" w:rsidP="00B02C5E">
      <w:r>
        <w:t>• d. est élevée dans l'hyperparathyroïdie primaire</w:t>
      </w:r>
    </w:p>
    <w:p w14:paraId="48498017" w14:textId="77777777" w:rsidR="00B02C5E" w:rsidRDefault="00B02C5E" w:rsidP="00B02C5E">
      <w:r>
        <w:t>• e. est sécrétée par les thyrocytes</w:t>
      </w:r>
    </w:p>
    <w:p w14:paraId="46C3DC61" w14:textId="77777777" w:rsidR="00B02C5E" w:rsidRDefault="00B02C5E" w:rsidP="00B02C5E">
      <w:r>
        <w:t>3. Le signe clinique évocateur d'un phéochromocytome est:</w:t>
      </w:r>
    </w:p>
    <w:p w14:paraId="62EA4FE6" w14:textId="77777777" w:rsidR="00B02C5E" w:rsidRDefault="00B02C5E" w:rsidP="00B02C5E">
      <w:r>
        <w:t>• a. la prise de poids</w:t>
      </w:r>
    </w:p>
    <w:p w14:paraId="52082284" w14:textId="77777777" w:rsidR="00B02C5E" w:rsidRDefault="00B02C5E" w:rsidP="00B02C5E">
      <w:r>
        <w:t>• b. l'atrophie musculaire</w:t>
      </w:r>
    </w:p>
    <w:p w14:paraId="1D20F460" w14:textId="77777777" w:rsidR="00B02C5E" w:rsidRDefault="00B02C5E" w:rsidP="00B02C5E">
      <w:r>
        <w:t>• c. les troubles digestifs</w:t>
      </w:r>
    </w:p>
    <w:p w14:paraId="144BD939" w14:textId="77777777" w:rsidR="00B02C5E" w:rsidRDefault="00B02C5E" w:rsidP="00B02C5E">
      <w:r>
        <w:t>• d. la mélanodermie</w:t>
      </w:r>
    </w:p>
    <w:p w14:paraId="3CD92B16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e. l'hypertension artérielle paroxystique</w:t>
      </w:r>
    </w:p>
    <w:p w14:paraId="7256BA7D" w14:textId="77777777" w:rsidR="00B02C5E" w:rsidRDefault="00B02C5E" w:rsidP="00B02C5E">
      <w:r>
        <w:t>4. La cause la plus fréquente de mort dans l'acromégalie est:</w:t>
      </w:r>
    </w:p>
    <w:p w14:paraId="043D42E7" w14:textId="77777777" w:rsidR="00B02C5E" w:rsidRDefault="00B02C5E" w:rsidP="00B02C5E">
      <w:r>
        <w:t>• a. l'extension tumorale</w:t>
      </w:r>
    </w:p>
    <w:p w14:paraId="3D3C4433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b. l'insuffisance cardiaque</w:t>
      </w:r>
    </w:p>
    <w:p w14:paraId="4C113FC7" w14:textId="77777777" w:rsidR="00B02C5E" w:rsidRDefault="00B02C5E" w:rsidP="00B02C5E">
      <w:r>
        <w:t>• c. l'hypertension artérielle</w:t>
      </w:r>
    </w:p>
    <w:p w14:paraId="4CC89AAC" w14:textId="77777777" w:rsidR="00B02C5E" w:rsidRDefault="00B02C5E" w:rsidP="00B02C5E">
      <w:r>
        <w:t>• d. le cardiomyopathie</w:t>
      </w:r>
    </w:p>
    <w:p w14:paraId="46E2891B" w14:textId="77777777" w:rsidR="00B02C5E" w:rsidRDefault="00B02C5E" w:rsidP="00B02C5E">
      <w:r>
        <w:t>• e. le diabète sucré</w:t>
      </w:r>
    </w:p>
    <w:p w14:paraId="7BB2BBBA" w14:textId="77777777" w:rsidR="00B02C5E" w:rsidRDefault="00B02C5E" w:rsidP="00B02C5E">
      <w:r>
        <w:t>5. Le trouble du rythme révélateur de l'hyperthyroïdie est:</w:t>
      </w:r>
    </w:p>
    <w:p w14:paraId="12D8D67E" w14:textId="77777777" w:rsidR="00B02C5E" w:rsidRDefault="00B02C5E" w:rsidP="00B02C5E">
      <w:r>
        <w:t>• a. le flutter</w:t>
      </w:r>
    </w:p>
    <w:p w14:paraId="23A9666F" w14:textId="77777777" w:rsidR="00B02C5E" w:rsidRDefault="00B02C5E" w:rsidP="00B02C5E">
      <w:r>
        <w:t>• b. la tachysystolie</w:t>
      </w:r>
    </w:p>
    <w:p w14:paraId="34CB6ED1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c. la fibrillation auriculaire</w:t>
      </w:r>
    </w:p>
    <w:p w14:paraId="7B670E21" w14:textId="77777777" w:rsidR="00B02C5E" w:rsidRDefault="00B02C5E" w:rsidP="00B02C5E">
      <w:r>
        <w:t>• d. la tachycardie sinusale</w:t>
      </w:r>
    </w:p>
    <w:p w14:paraId="3B960FC2" w14:textId="77777777" w:rsidR="00B02C5E" w:rsidRDefault="00B02C5E" w:rsidP="00B02C5E">
      <w:r>
        <w:t>• e. la tachycardie supraventriculaire paroxystique</w:t>
      </w:r>
    </w:p>
    <w:p w14:paraId="06E7646A" w14:textId="77777777" w:rsidR="00B02C5E" w:rsidRDefault="00B02C5E" w:rsidP="00B02C5E">
      <w:r>
        <w:t>6. La douleur cutanée est le signe clinique de:</w:t>
      </w:r>
    </w:p>
    <w:p w14:paraId="7603EF4D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a. l'insuffisance surrénalienne aiguë</w:t>
      </w:r>
    </w:p>
    <w:p w14:paraId="1000510A" w14:textId="77777777" w:rsidR="00B02C5E" w:rsidRDefault="00B02C5E" w:rsidP="00B02C5E">
      <w:r>
        <w:t>• b. la maladie d'Addison</w:t>
      </w:r>
    </w:p>
    <w:p w14:paraId="7731AE0B" w14:textId="77777777" w:rsidR="00B02C5E" w:rsidRDefault="00B02C5E" w:rsidP="00B02C5E">
      <w:r>
        <w:t>• c. le syndrome de Cushing</w:t>
      </w:r>
    </w:p>
    <w:p w14:paraId="47EECBCA" w14:textId="77777777" w:rsidR="00B02C5E" w:rsidRDefault="00B02C5E" w:rsidP="00B02C5E">
      <w:r>
        <w:t>• d. l'hypothyroïdie</w:t>
      </w:r>
    </w:p>
    <w:p w14:paraId="2F0CDE86" w14:textId="77777777" w:rsidR="00B02C5E" w:rsidRDefault="00B02C5E" w:rsidP="00B02C5E">
      <w:r>
        <w:t>• e. l'insuffisance parathyroïdienne</w:t>
      </w:r>
    </w:p>
    <w:p w14:paraId="1BC181DD" w14:textId="77777777" w:rsidR="00B02C5E" w:rsidRDefault="00B02C5E" w:rsidP="00B02C5E">
      <w:r>
        <w:t>7. L'hypophyse antérieure synthétise les suivantes hormones avec une exception:</w:t>
      </w:r>
    </w:p>
    <w:p w14:paraId="699FC430" w14:textId="77777777" w:rsidR="00B02C5E" w:rsidRDefault="00B02C5E" w:rsidP="00B02C5E">
      <w:r>
        <w:t>• a. GH</w:t>
      </w:r>
    </w:p>
    <w:p w14:paraId="31365B87" w14:textId="77777777" w:rsidR="00B02C5E" w:rsidRDefault="00B02C5E" w:rsidP="00B02C5E">
      <w:r>
        <w:t>• b. TSH</w:t>
      </w:r>
    </w:p>
    <w:p w14:paraId="0D6207B6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c. CRH</w:t>
      </w:r>
    </w:p>
    <w:p w14:paraId="04CE9767" w14:textId="77777777" w:rsidR="00B02C5E" w:rsidRDefault="00B02C5E" w:rsidP="00B02C5E">
      <w:r>
        <w:t>• d. FSH et LH</w:t>
      </w:r>
    </w:p>
    <w:p w14:paraId="04930C6F" w14:textId="77777777" w:rsidR="00B02C5E" w:rsidRDefault="00B02C5E" w:rsidP="00B02C5E">
      <w:r>
        <w:t>• e. Prolactine</w:t>
      </w:r>
    </w:p>
    <w:p w14:paraId="1850B2C7" w14:textId="77777777" w:rsidR="00B02C5E" w:rsidRDefault="00B02C5E" w:rsidP="00B02C5E">
      <w:r>
        <w:t>8. Le rétrocontrôle de la sécrétion de PTH est réalisé par:</w:t>
      </w:r>
    </w:p>
    <w:p w14:paraId="6AE73576" w14:textId="77777777" w:rsidR="00B02C5E" w:rsidRDefault="00B02C5E" w:rsidP="00B02C5E">
      <w:r>
        <w:t>• a. le calcitonine</w:t>
      </w:r>
    </w:p>
    <w:p w14:paraId="42FAE069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b. le niveau de la calcémie</w:t>
      </w:r>
    </w:p>
    <w:p w14:paraId="2D7FEF64" w14:textId="77777777" w:rsidR="00B02C5E" w:rsidRDefault="00B02C5E" w:rsidP="00B02C5E">
      <w:r>
        <w:t>• c. le TSH</w:t>
      </w:r>
    </w:p>
    <w:p w14:paraId="200FA19A" w14:textId="77777777" w:rsidR="00B02C5E" w:rsidRDefault="00B02C5E" w:rsidP="00B02C5E">
      <w:r>
        <w:t>• d. la phosphorémie</w:t>
      </w:r>
    </w:p>
    <w:p w14:paraId="12B7555C" w14:textId="77777777" w:rsidR="00B02C5E" w:rsidRDefault="00B02C5E" w:rsidP="00B02C5E">
      <w:r>
        <w:t>• e. le niveau de la vitamine D</w:t>
      </w:r>
    </w:p>
    <w:p w14:paraId="1E5257AE" w14:textId="77777777" w:rsidR="00B02C5E" w:rsidRDefault="00B02C5E" w:rsidP="00B02C5E">
      <w:r>
        <w:t>9. Parmi les suivants qui NE représente PAS un facteur de risque pour l'ostéoporose:</w:t>
      </w:r>
    </w:p>
    <w:p w14:paraId="57FA7CF6" w14:textId="77777777" w:rsidR="00B02C5E" w:rsidRDefault="00B02C5E" w:rsidP="00B02C5E">
      <w:r>
        <w:t>• a. l'indice de masse corporelle bas</w:t>
      </w:r>
    </w:p>
    <w:p w14:paraId="3F98BF89" w14:textId="77777777" w:rsidR="00B02C5E" w:rsidRDefault="00B02C5E" w:rsidP="00B02C5E">
      <w:r>
        <w:t>• b. le tabagisme</w:t>
      </w:r>
    </w:p>
    <w:p w14:paraId="61F8C043" w14:textId="77777777" w:rsidR="00B02C5E" w:rsidRDefault="00B02C5E" w:rsidP="00B02C5E">
      <w:r>
        <w:t>• c. l'abus d'alcool</w:t>
      </w:r>
    </w:p>
    <w:p w14:paraId="1EF4ADD9" w14:textId="77777777" w:rsidR="00B02C5E" w:rsidRDefault="00B02C5E" w:rsidP="00B02C5E">
      <w:r>
        <w:t>• d. l'immobilisation</w:t>
      </w:r>
    </w:p>
    <w:p w14:paraId="2BBE19B4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e. le stress</w:t>
      </w:r>
    </w:p>
    <w:p w14:paraId="36ECC6E3" w14:textId="77777777" w:rsidR="00B02C5E" w:rsidRDefault="00B02C5E" w:rsidP="00B02C5E">
      <w:r>
        <w:t>10. La cause la plus fréquente de la forme ACTH indépendante du syndrome de Cushing est:</w:t>
      </w:r>
    </w:p>
    <w:p w14:paraId="3496CAA8" w14:textId="77777777" w:rsidR="00B02C5E" w:rsidRDefault="00B02C5E" w:rsidP="00B02C5E">
      <w:r>
        <w:t>• a. l'adénome</w:t>
      </w:r>
    </w:p>
    <w:p w14:paraId="17E960DB" w14:textId="77777777" w:rsidR="00B02C5E" w:rsidRDefault="00B02C5E" w:rsidP="00B02C5E">
      <w:r>
        <w:t>• b. l'hyperplasie macronodulaire bilatérale</w:t>
      </w:r>
    </w:p>
    <w:p w14:paraId="6F357285" w14:textId="77777777" w:rsidR="00B02C5E" w:rsidRDefault="00B02C5E" w:rsidP="00B02C5E">
      <w:r>
        <w:t>• c. l'hyperplasie micronodulaire pigmentée</w:t>
      </w:r>
    </w:p>
    <w:p w14:paraId="707744A9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d. la corticothérapie</w:t>
      </w:r>
    </w:p>
    <w:p w14:paraId="2A91FA69" w14:textId="77777777" w:rsidR="00B02C5E" w:rsidRDefault="00B02C5E" w:rsidP="00B02C5E">
      <w:r>
        <w:t>• e. le corticosurrénalome</w:t>
      </w:r>
    </w:p>
    <w:p w14:paraId="3D406117" w14:textId="77777777" w:rsidR="00B02C5E" w:rsidRDefault="00B02C5E" w:rsidP="00B02C5E">
      <w:r>
        <w:t>11. Le risque évolutif dans l'hypothyroïdie est représenté par:</w:t>
      </w:r>
    </w:p>
    <w:p w14:paraId="69D98C1D" w14:textId="77777777" w:rsidR="00B02C5E" w:rsidRDefault="00B02C5E" w:rsidP="00B02C5E">
      <w:r>
        <w:t>• a. l'adénocarcinome</w:t>
      </w:r>
    </w:p>
    <w:p w14:paraId="59E12FCA" w14:textId="77777777" w:rsidR="00B02C5E" w:rsidRDefault="00B02C5E" w:rsidP="00B02C5E">
      <w:r>
        <w:t>• b. l'insuffisance rénale</w:t>
      </w:r>
    </w:p>
    <w:p w14:paraId="2EF350DE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c. la cardiothyréose</w:t>
      </w:r>
    </w:p>
    <w:p w14:paraId="4772317C" w14:textId="77777777" w:rsidR="00B02C5E" w:rsidRDefault="00B02C5E" w:rsidP="00B02C5E">
      <w:r>
        <w:t>• d. la crise aiguë thyrotoxique</w:t>
      </w:r>
    </w:p>
    <w:p w14:paraId="02E13DEA" w14:textId="77777777" w:rsidR="00B02C5E" w:rsidRDefault="00B02C5E" w:rsidP="00B02C5E">
      <w:r>
        <w:t>• e. l'ostéoporose</w:t>
      </w:r>
    </w:p>
    <w:p w14:paraId="1610E1A6" w14:textId="77777777" w:rsidR="00B02C5E" w:rsidRDefault="00B02C5E" w:rsidP="00B02C5E">
      <w:r>
        <w:t>12. L'hypothyroïdie iodée induite est produite par le:</w:t>
      </w:r>
    </w:p>
    <w:p w14:paraId="20AD5428" w14:textId="77777777" w:rsidR="00B02C5E" w:rsidRDefault="00B02C5E" w:rsidP="00B02C5E">
      <w:r>
        <w:t>• a. Opiacés</w:t>
      </w:r>
    </w:p>
    <w:p w14:paraId="34824B83" w14:textId="77777777" w:rsidR="00B02C5E" w:rsidRDefault="00B02C5E" w:rsidP="00B02C5E">
      <w:r>
        <w:t>• b. Métoclopramide</w:t>
      </w:r>
    </w:p>
    <w:p w14:paraId="0597B749" w14:textId="77777777" w:rsidR="00B02C5E" w:rsidRDefault="00B02C5E" w:rsidP="00B02C5E">
      <w:r>
        <w:t>• c. Neuroleptiques</w:t>
      </w:r>
    </w:p>
    <w:p w14:paraId="285F2511" w14:textId="77777777" w:rsidR="00B02C5E" w:rsidRPr="00B02C5E" w:rsidRDefault="00B02C5E" w:rsidP="00B02C5E">
      <w:pPr>
        <w:rPr>
          <w:color w:val="EE0000"/>
        </w:rPr>
      </w:pPr>
      <w:r w:rsidRPr="00B02C5E">
        <w:rPr>
          <w:color w:val="EE0000"/>
        </w:rPr>
        <w:t>• d. Amiodarone</w:t>
      </w:r>
    </w:p>
    <w:p w14:paraId="651DC3D5" w14:textId="77777777" w:rsidR="00B02C5E" w:rsidRDefault="00B02C5E" w:rsidP="00B02C5E">
      <w:r>
        <w:t>• e. Produits de contraste</w:t>
      </w:r>
    </w:p>
    <w:sectPr w:rsidR="00B0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5E"/>
    <w:rsid w:val="00AB735C"/>
    <w:rsid w:val="00B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67C7235-19DA-2749-A242-E9154125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2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2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2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2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2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2C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2C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2C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2C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2C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2C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2C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2C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2C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2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2C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2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rayhane aguiri</dc:creator>
  <cp:keywords/>
  <dc:description/>
  <cp:lastModifiedBy/>
  <cp:revision>1</cp:revision>
  <dcterms:created xsi:type="dcterms:W3CDTF">2026-01-24T17:11:00Z</dcterms:created>
</cp:coreProperties>
</file>