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近期AI领域核心资讯调研报告</w:t>
      </w:r>
    </w:p>
    <w:p>
      <w:r>
        <w:t>报告日期：2024年5月</w:t>
      </w:r>
    </w:p>
    <w:p>
      <w:r>
        <w:t>摘要：本报告基于近期（2024年第一季度至第二季度初）人工智能领域的公开资讯、行业报告及市场数据，系统梳理了技术突破、行业动态、市场趋势及关键统计数据，旨在为相关决策者提供全面的信息参考。</w:t>
      </w:r>
    </w:p>
    <w:p>
      <w:pPr>
        <w:pStyle w:val="Heading2"/>
      </w:pPr>
      <w:r>
        <w:t>一、 主要技术突破与模型发布</w:t>
      </w:r>
    </w:p>
    <w:p>
      <w:r>
        <w:t>2024年初至今，AI领域的技术竞赛持续白热化，各大科技公司及研究机构相继发布新一代模型与工具。</w:t>
      </w:r>
    </w:p>
    <w:p>
      <w:pPr>
        <w:pStyle w:val="ListBullet"/>
      </w:pPr>
      <w:r>
        <w:t>多模态大模型能力飞跃：OpenAI的GPT-4 Turbo、Google的Gemini Ultra及Claude 3系列模型在复杂推理、代码生成和多模态理解（如图像、音频）方面表现突出，接近或达到人类专家水平。</w:t>
      </w:r>
    </w:p>
    <w:p>
      <w:pPr>
        <w:pStyle w:val="ListBullet"/>
      </w:pPr>
      <w:r>
        <w:t>开源模型生态繁荣：Meta的Llama 3、Mistral AI的Mistral Large等开源模型性能大幅提升，降低了企业应用AI的门槛，推动了行业创新。</w:t>
      </w:r>
    </w:p>
    <w:p>
      <w:pPr>
        <w:pStyle w:val="ListBullet"/>
      </w:pPr>
      <w:r>
        <w:t>AI Agent（智能体）成为新焦点：能够自主规划、使用工具并执行复杂任务的AI Agent框架（如AutoGPT、Devin）快速发展，预示着AI从“工具”向“助理”的转变。</w:t>
      </w:r>
    </w:p>
    <w:p>
      <w:pPr>
        <w:pStyle w:val="Heading2"/>
      </w:pPr>
      <w:r>
        <w:t>二、 行业应用与市场动态</w:t>
      </w:r>
    </w:p>
    <w:p>
      <w:r>
        <w:t>AI技术正加速渗透至各行各业，引发生产力和商业模式的深刻变革。</w:t>
      </w:r>
    </w:p>
    <w:p>
      <w:pPr>
        <w:pStyle w:val="ListBullet"/>
      </w:pPr>
      <w:r>
        <w:t>企业级AI部署加速：根据麦肯锡报告，超过50%的企业已在至少一个业务功能中规模化应用生成式AI，尤其在营销、软件工程和客户服务领域。</w:t>
      </w:r>
    </w:p>
    <w:p>
      <w:pPr>
        <w:pStyle w:val="ListBullet"/>
      </w:pPr>
      <w:r>
        <w:t>AI硬件需求激增：英伟达（NVIDIA）最新财报显示，其数据中心GPU营收同比增长超过200%，反映出全球对AI算力的巨大需求。</w:t>
      </w:r>
    </w:p>
    <w:p>
      <w:pPr>
        <w:pStyle w:val="ListBullet"/>
      </w:pPr>
      <w:r>
        <w:t>监管与安全议题升温：欧盟《人工智能法案》正式通过，中国、美国等也加紧制定AI治理框架，数据安全、偏见和伦理问题成为关注核心。</w:t>
      </w:r>
    </w:p>
    <w:p>
      <w:pPr>
        <w:pStyle w:val="Heading3"/>
      </w:pPr>
      <w:r>
        <w:t>表1：2024年Q1全球主要AI模型性能基准对比（MMLU基准）</w:t>
      </w:r>
    </w:p>
    <w:p>
      <w:pPr>
        <w:pStyle w:val="Heading2"/>
      </w:pPr>
      <w:r>
        <w:t>三、 市场趋势与投资数据</w:t>
      </w:r>
    </w:p>
    <w:p>
      <w:r>
        <w:t>资本市场对AI的热情持续高涨，投资流向清晰反映了技术发展趋势。</w:t>
      </w:r>
    </w:p>
    <w:p>
      <w:pPr>
        <w:pStyle w:val="Heading3"/>
      </w:pPr>
      <w:r>
        <w:t>表2：2023-2024年全球AI领域投资分布（按细分领域）</w:t>
      </w:r>
    </w:p>
    <w:p>
      <w:pPr>
        <w:pStyle w:val="Heading2"/>
      </w:pPr>
      <w:r>
        <w:t>四、 未来展望与挑战</w:t>
      </w:r>
    </w:p>
    <w:p>
      <w:pPr>
        <w:pStyle w:val="ListBullet"/>
      </w:pPr>
      <w:r>
        <w:t>趋势：AI将更加“小型化”和“专业化”，边缘AI和垂直领域模型将迎来爆发。人机交互将更加自然，语音、手势交互成为常态。</w:t>
      </w:r>
    </w:p>
    <w:p>
      <w:pPr>
        <w:pStyle w:val="ListBullet"/>
      </w:pPr>
      <w:r>
        <w:t>挑战：算力瓶颈、能源消耗、数据隐私、技术滥用（如深度伪造）以及全球范围内的监管差异，是AI可持续发展必须应对的难题。</w:t>
      </w:r>
    </w:p>
    <w:p>
      <w:pPr>
        <w:pStyle w:val="ListBullet"/>
      </w:pPr>
      <w:r>
        <w:t>建议：企业应积极拥抱AI，但需制定清晰的实施路线图，重视数据治理和人才培养，并密切关注合规要求。</w:t>
      </w:r>
    </w:p>
    <w:p>
      <w:pPr>
        <w:pStyle w:val="Heading2"/>
      </w:pPr>
      <w:r>
        <w:t>参考文献与数据来源</w:t>
      </w:r>
    </w:p>
    <w:p>
      <w:pPr>
        <w:pStyle w:val="ListBullet"/>
      </w:pPr>
      <w:r>
        <w:t>OpenAI. (2024). GPT-4 Technical Report.</w:t>
      </w:r>
    </w:p>
    <w:p>
      <w:pPr>
        <w:pStyle w:val="ListBullet"/>
      </w:pPr>
      <w:r>
        <w:t>Google DeepMind. (2024). Gemini: A Family of Highly Capable Multimodal Models.</w:t>
      </w:r>
    </w:p>
    <w:p>
      <w:pPr>
        <w:pStyle w:val="ListBullet"/>
      </w:pPr>
      <w:r>
        <w:t>McKinsey &amp; Company. (2024). The state of AI in early 2024: Gen AI adoption spikes and starts to generate value.</w:t>
      </w:r>
    </w:p>
    <w:p>
      <w:pPr>
        <w:pStyle w:val="ListBullet"/>
      </w:pPr>
      <w:r>
        <w:t>PitchBook Data. (2024). Artificial Intelligence &amp; Machine Learning Report Q1 2024.</w:t>
      </w:r>
    </w:p>
    <w:p>
      <w:pPr>
        <w:pStyle w:val="ListBullet"/>
      </w:pPr>
      <w:r>
        <w:t>NVIDIA. (2024). Fiscal 2024 Fourth Quarter Financial Results.</w:t>
      </w:r>
    </w:p>
    <w:p>
      <w:pPr>
        <w:pStyle w:val="ListBullet"/>
      </w:pPr>
      <w:r>
        <w:t>European Parliament. (2024). EU AI Act.</w:t>
      </w:r>
    </w:p>
    <w:p>
      <w:pPr>
        <w:pStyle w:val="Heading1"/>
      </w:pPr>
      <w:r>
        <w:t>近期AI领域核心资讯简报</w:t>
      </w:r>
    </w:p>
    <w:p>
      <w:r>
        <w:t>几何风格 · 淡蓝色主题</w:t>
      </w:r>
    </w:p>
    <w:p>
      <w:r>
        <w:t>2024年5月 信息摘要</w:t>
      </w:r>
    </w:p>
    <w:p>
      <w:pPr>
        <w:pStyle w:val="Heading1"/>
      </w:pPr>
      <w:r>
        <w:t>一、 技术突破：多模态与开源浪潮</w:t>
      </w:r>
    </w:p>
    <w:p>
      <w:pPr>
        <w:pStyle w:val="ListBullet"/>
      </w:pPr>
      <w:r>
        <w:t>GPT-4 Turbo / Gemini Ultra / Claude 3– 多模态能力接近人类专家水平</w:t>
      </w:r>
    </w:p>
    <w:p>
      <w:pPr>
        <w:pStyle w:val="ListBullet"/>
      </w:pPr>
      <w:r>
        <w:t>Llama 3 / Mistral Large– 开源模型性能飞跃，降低应用门槛</w:t>
      </w:r>
    </w:p>
    <w:p>
      <w:pPr>
        <w:pStyle w:val="ListBullet"/>
      </w:pPr>
      <w:r>
        <w:t>AI Agent 智能体– 从“工具”迈向“自主助理”</w:t>
      </w:r>
    </w:p>
    <w:p>
      <w:pPr>
        <w:pStyle w:val="Heading1"/>
      </w:pPr>
      <w:r>
        <w:t>二、 行业应用：渗透与变革加速</w:t>
      </w:r>
    </w:p>
    <w:p>
      <w:pPr>
        <w:pStyle w:val="ListBullet"/>
      </w:pPr>
      <w:r>
        <w:t>企业级部署规模化：超50%企业已在业务中应用生成式AI</w:t>
      </w:r>
    </w:p>
    <w:p>
      <w:pPr>
        <w:pStyle w:val="ListBullet"/>
      </w:pPr>
      <w:r>
        <w:t>算力需求激增：英伟达数据中心GPU营收同比增超200%</w:t>
      </w:r>
    </w:p>
    <w:p>
      <w:pPr>
        <w:pStyle w:val="ListBullet"/>
      </w:pPr>
      <w:r>
        <w:t>全球监管升温：欧盟AI法案落地，中美加紧制定框架</w:t>
      </w:r>
    </w:p>
    <w:p>
      <w:pPr>
        <w:pStyle w:val="Heading1"/>
      </w:pPr>
      <w:r>
        <w:t>三、 核心模型性能对比 (MMLU基准)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