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SIMATS ENGINEERING</w:t>
      </w:r>
    </w:p>
    <w:p>
      <w:pPr>
        <w:spacing w:before="0" w:after="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CO4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AT1 - Article Review- Low</w:t>
      </w:r>
    </w:p>
    <w:p>
      <w:pPr>
        <w:spacing w:before="0" w:after="0" w:line="276"/>
        <w:ind w:right="0" w:left="0" w:firstLine="0"/>
        <w:jc w:val="center"/>
        <w:rPr>
          <w:rFonts w:ascii="Times New Roman" w:hAnsi="Times New Roman" w:cs="Times New Roman" w:eastAsia="Times New Roman"/>
          <w:b/>
          <w:color w:val="auto"/>
          <w:spacing w:val="0"/>
          <w:position w:val="0"/>
          <w:sz w:val="36"/>
          <w:shd w:fill="auto" w:val="clear"/>
        </w:rPr>
      </w:pP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NAME: Advance Wireless Communication Systems /</w:t>
      </w: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5G / 6G Communication Systems</w:t>
        <w:tab/>
        <w:tab/>
      </w:r>
    </w:p>
    <w:p>
      <w:pPr>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CODE: ECA56</w:t>
        <w:tab/>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OUTCOME COVERED</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 4 - </w:t>
      </w:r>
      <w:r>
        <w:rPr>
          <w:rFonts w:ascii="Times New Roman" w:hAnsi="Times New Roman" w:cs="Times New Roman" w:eastAsia="Times New Roman"/>
          <w:i/>
          <w:color w:val="auto"/>
          <w:spacing w:val="0"/>
          <w:position w:val="0"/>
          <w:sz w:val="24"/>
          <w:shd w:fill="auto" w:val="clear"/>
        </w:rPr>
        <w:t xml:space="preserve">Develop 5G-enabled edge computing and IoT solutions for smart city, healthcare, industrial automation, and intelligent communication applications. (BL6)</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Tool Number </w:t>
        <w:tab/>
        <w:tab/>
        <w:t xml:space="preserve">: CO4_AT1</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Tool Weightage</w:t>
        <w:tab/>
        <w:t xml:space="preserve">: 25%</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Tool</w:t>
        <w:tab/>
        <w:tab/>
        <w:tab/>
        <w:t xml:space="preserve">: Article Review</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Duration</w:t>
        <w:tab/>
        <w:tab/>
        <w:tab/>
        <w:tab/>
        <w:t xml:space="preserve">: Self Learning</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Marks</w:t>
        <w:tab/>
        <w:tab/>
        <w:tab/>
        <w:tab/>
        <w:tab/>
        <w:t xml:space="preserve">: 100 Marks</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Type of Assessment Conduction  : At Home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Evaluation Type</w:t>
        <w:tab/>
        <w:tab/>
        <w:tab/>
        <w:t xml:space="preserve">: Manual</w:t>
      </w:r>
    </w:p>
    <w:p>
      <w:pPr>
        <w:spacing w:before="0" w:after="0" w:line="276"/>
        <w:ind w:right="0" w:left="3600" w:hanging="360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Result Generation</w:t>
        <w:tab/>
        <w:t xml:space="preserve">: Students critically analyze wireless communication concepts, evaluate alternative approaches, and justify their solutions using sound engineering reasoning.</w:t>
      </w:r>
    </w:p>
    <w:p>
      <w:pPr>
        <w:spacing w:before="0" w:after="0" w:line="276"/>
        <w:ind w:right="0" w:left="3600" w:hanging="360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Topic Covered</w:t>
        <w:tab/>
        <w:t xml:space="preserve">: Edge and cloud computing in wireless systems, MEC, Cloud RAN, Edge AI, satellite backhaul (LEO/MEO/GEO), dynamic spectrum sharing, 5G IoT, NB-IoT, LTE-M, and energy-efficient IoT devices. 5G-enabled applications including wearables, smart cities, smart factories, healthcare, smart agriculture, predictive maintenance, robotic automation, patient monitoring, livestock tracking, and yield prediction.</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2"/>
          <w:shd w:fill="auto" w:val="clear"/>
        </w:rPr>
        <w:t xml:space="preserve">ARTICLE REVIEW</w:t>
        <w:br/>
        <w:t xml:space="preserve">Robotic Automation in Industry 4.0 Using 5G Communication</w:t>
      </w: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 31 | Course: 5G / 6G Communication Systems</w:t>
        <w:br/>
      </w:r>
      <w:r>
        <w:rPr>
          <w:rFonts w:ascii="Times New Roman" w:hAnsi="Times New Roman" w:cs="Times New Roman" w:eastAsia="Times New Roman"/>
          <w:color w:val="auto"/>
          <w:spacing w:val="0"/>
          <w:position w:val="0"/>
          <w:sz w:val="24"/>
          <w:shd w:fill="auto" w:val="clear"/>
        </w:rPr>
        <w:t xml:space="preserve">Course Code: ECA56</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 Introduction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Industry 4.0 represents the transformation of traditional manufacturing into smart, connected and highly automated production systems. It combines technologies such as the Internet of Things (IoT), Artificial Intelligence (AI), cloud computing, edge computing, robotics, sensors and advanced communication networks.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Among these technologies, 5G communication plays an important role in robotic automation because industrial robots require communication that is fast, reliable, secure and capable of supporting many devices simultaneously. Conventional wired networks provide reliable communication but can reduce flexibility when robots and production lines need to be moved or reconfigured. Wi-Fi provides mobility but may experience interference and unpredictable latency.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 introduces capabilities such as Ultra-Reliable Low-Latency Communication (URLLC), high data rates, massive device connectivity, network slicing, precise positioning and support for private industrial networks. These features make 5G suitable for applications such as autonomous mobile robots, robotic arms, automated guided vehicles (AGVs), machine vision, remote monitoring and collaborative robots.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2. Understanding of the Article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Industry 4.0 aims to create smart factories where machines, sensors, robots and computer systems communicate continuously.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a conventional factory, a robot may operate according to a fixed program. In an Industry 4.0 factory, the robot can receive information from sensors, cameras and other machines and adjust its operation according to real-time conditions.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typical communication loop is: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Sensor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5G Network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Edge Computer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AI Analysis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Robot Controller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Robot Action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communication loop allows robots to respond quickly to changes in the production environment. Robotic automation can improve production speed, product quality, worker safety, manufacturing flexibility, machine utilization, predictive maintenance and real-time monitoring.</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3. Role of 5G in Robotic Automation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 is not simply a faster version of previous mobile networks. It provides communication capabilities specifically useful for applications requiring low latency, high reliability, mobility and large-scale connectivity.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Important 5G features for robotics include: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Low latency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enables rapid robot control.</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High reliability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reduces communication failures.</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High bandwidth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supports cameras and large sensor data.</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URLLC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supports time-critical industrial control.</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Massive connectivity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connects many sensors and machines.</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Network slicing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allows dedicated network resources.</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Private 5G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provides controlled factory connectivity.</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Edge computing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enables fast local processing.</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Precise positioning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helps locate AGVs and mobile robots.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4. 5G URLLC for Industrial Robots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of the most important 5G technologies for robotic automation is Ultra-Reliable Low-Latency Communication (URLLC).</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Robots often perform precise movements. If a control command is delayed, the robot may not respond at the required time.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T_total = T_processing + T_transmission + T_network + T_response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where:</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T_processing = processing time</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T_transmission = time required to transmit data</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T_network = communication/network delay</w:t>
        <w:br/>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T_response = time required for the robot to respond</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objective is to minimize total delay. URLLC is especially useful for robotic motion control, safety systems, collaborative robots, remote machine control, automated production lines and real-time industrial monitoring.</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5. Private 5G Networks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private 5G network is a dedicated cellular network deployed for a particular organization, factory or industrial site. It provides greater control over network resources, security, device access, quality of service, latency and coverage.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typical architecture is: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Private 5G Core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5G Base Station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Robot/AGV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Sensors and Controllers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private network can be configured specifically according to the requirements of the factory. This is useful when safety-critical and ordinary factory traffic need different levels of service.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6. Edge Computing and 5G Robotics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 becomes even more useful when combined with edge computing.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Traditional cloud computing:</w:t>
        <w:br/>
        <w:t xml:space="preserve">Robot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Internet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Cloud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Processing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Robot</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Edge computing:</w:t>
        <w:br/>
        <w:t xml:space="preserve">Robot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Local Edge Server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Processing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Robot</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Processing closer to the robot can reduce communication distance and improve response time.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an industrial camera can capture an image of a manufactured component. Instead of sending the image to a distant cloud server, it can be transmitted through a private 5G network to a local edge server. AI can determine whether the component is defective, and the result can be sent back to the robot.</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7. Robotic Vision and AI</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Modern industrial robots increasingly use cameras and AI for decision-making.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typical system works as follows:</w:t>
        <w:br/>
        <w:t xml:space="preserve">1. Camera captures an image.</w:t>
        <w:br/>
        <w:t xml:space="preserve">2. Image is transmitted through 5G.</w:t>
        <w:br/>
        <w:t xml:space="preserve">3. Edge computer receives the image.</w:t>
        <w:br/>
        <w:t xml:space="preserve">4. AI model analyzes the image.</w:t>
        <w:br/>
        <w:t xml:space="preserve">5. Defect or object is identified.</w:t>
        <w:br/>
        <w:t xml:space="preserve">6. Decision is sent to the robot.</w:t>
        <w:br/>
        <w:t xml:space="preserve">7. Robot performs the required action.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a robot may identify a defective component and remove it from a production line.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8. Automated Guided Vehicles and Mobile Robots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Automated Guided Vehicles (AGVs) and Autonomous Mobile Robots (AMRs) are increasingly used for transporting materials inside factories.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They can move raw materials, components, finished products, tools and equipment.</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 helps these mobile robots maintain communication while moving around the factory. The control system can continuously monitor robot position, speed, battery level, obstacles and destination.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typical flow is: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Warehouse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5G Network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AGV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Destination</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9. Collaborative Robots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Collaborative robots, commonly called cobots, are designed to work alongside humans. Examples include assembly, material handling, inspection, packaging and machine tending.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safe human-robot collaboration, the communication system needs predictable and reliable performance. 5G URLLC can support communication between sensors, control systems and robots.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10. Advantages of 5G-Based Robotic Automation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Low Latency: Low latency allows robots to receive and respond to commands quickly.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High Reliability: Industrial robots require stable communication, and properly designed 5G systems can provide highly reliable connections.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Mobility: Wireless 5G reduces physical cabling and makes it easier to move robots, reconfigure production lines and add new machines.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High Bandwidth: Robotic systems can generate large amounts of data through cameras, LiDAR, sensors, machine vision and video monitoring.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Massive Connectivity: A smart factory may contain thousands of sensors, controllers, robots, machines and IoT devices.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Better Factory Flexibility: Wireless connectivity can make factory reconfiguration easier, especially where production requirements change frequently.</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11. Critical Analysis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Although 5G provides significant benefits, it should not be considered a perfect replacement for every industrial communication technology.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11.1 Latency Is Not Always Constant</w:t>
        <w:br/>
        <w:t xml:space="preserve">The theoretical capability of 5G does not mean every 5G network will always provide extremely low latency. Actual latency depends on network architecture, signal quality, packet size, device capability, spectrum, edge/cloud location and network traffic. Factories must therefore perform proper testing before using 5G for safety-critical robot control.</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11.2 Reliability Requires Proper Network Design</w:t>
        <w:br/>
        <w:t xml:space="preserve">A single communication link may not be sufficient for highly critical applications. Network redundancy and multi-connectivity can improve reliability. This demonstrates that 5G capability alone is not enough; network redundancy and proper system design are also required.</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11.3 Deployment Cost</w:t>
        <w:br/>
        <w:t xml:space="preserve">A private 5G network requires base stations, 5G core infrastructure, industrial devices, spectrum arrangements, network management, security systems and skilled engineers. Therefore, the initial investment can be high.</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11.4 Security Risks</w:t>
        <w:br/>
        <w:t xml:space="preserve">Connecting robots to a network creates cybersecurity risks such as unauthorized access, malware, data interception, denial-of-service attacks, compromised robot controllers and manipulation of sensor data. Industrial 5G systems require authentication, encryption, network segmentation, access control, monitoring and security updates.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11.5 Spectrum and Signal Challenges</w:t>
        <w:br/>
        <w:t xml:space="preserve">5G performance depends on the frequency band used. Higher-frequency systems can provide high bandwidth but may be more affected by physical obstructions, factory structures, equipment and signal blockage. Proper radio planning is therefore necessary.</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12. Comparison with Wired Networks and Wi-Fi</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Wired networks generally provide very high reliability and very low latency but have low mobility and require cabling. Wi-Fi offers high mobility and easier installation but can have variable latency and greater interference. 5G offers very high mobility, flexibility, large-scale connectivity and potentially very low latency, but it requires dedicated infrastructure and careful design.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Therefore, 5G does not necessarily replace wired networks completely. Hybrid systems can use wired Ethernet for fixed critical equipment and 5G for mobile robots, AGVs and flexible production systems.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13. Industrial Applications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5G-enabled robotic automation can be applied in many industries.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Automotive Manufacturing: welding, painting, assembly, inspection and material transportation.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Electronics Manufacturing: component placement, visual inspection, testing and packaging.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Warehousing: AGVs and AMRs can transport products automatically.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Healthcare Manufacturing: robotic systems can assist in producing medical devices and maintaining quality control.</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Food Processing: sorting, packaging, inspection and material handling.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Logistics: autonomous robots can move goods between storage and production areas.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14. Evidence from Industrial Applications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Industrial 5G trials have demonstrated the potential of private 5G for robotics. A Bosch industrial trial used private 5G to support an autonomous mobile robot and an AGV. The robot captured images of components, transmitted them to a local server and used AI for defect detection. The system also investigated requirements such as high-speed image transmission, robot communication and AGV positioning.</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Industrial research has also experimentally investigated latency and reliability under realistic production conditions. These studies show that very low latency can be achieved under appropriate configurations, while multi-connectivity can strengthen reliability for mission-critical robotic applications.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15. Future Scope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future of robotic automation is likely to involve the combination of:</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 + AI + Edge Computing + IoT + Robotics + Digital Twins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factories may have robots that can make decisions using AI, communicate with other robots, detect defects automatically, predict machine failures, navigate independently, coordinate production tasks, work safely with humans and receive software updates remotely.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evolution toward 6G may further improve sensing, communication, AI integration and intelligent industrial automation. However, future systems should continue to focus on reliability, cybersecurity, interoperability and cost efficiency rather than simply increasing communication speed.</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16. Overall Critical Evaluation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main strength of 5G in Industry 4.0 is that it combines mobility, reliability, low latency and high connectivity in one communication technology.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robotic automation, this can change the traditional factory structure. Instead of every robot being permanently connected using cables, mobile robots can communicate wirelessly while moving through different areas of the factory.</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However, engineers should not assume that 5G automatically guarantees perfect performance. Actual results depend on network design, radio conditions, hardware, traffic and application requirements.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Therefore, the most effective approach is likely to be a hybrid industrial architecture in which wired connections, private 5G, edge computing and other communication technologies are used according to the requirements of each application.</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17. Conclusion</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Robotic automation is one of the important applications of Industry 4.0. Industrial robots, AGVs, AMRs, sensors and AI systems require communication networks capable of providing fast, reliable and secure data exchange.</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5G provides several features that make it suitable for these requirements, particularly URLLC, high bandwidth, massive connectivity, mobility, private networks and edge computing support.</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combination of 5G and robotics can enable flexible production lines, real-time machine control, intelligent inspection, autonomous transportation and human-robot collaboration. At the same time, challenges such as deployment cost, cybersecurity, spectrum management, signal conditions and variable real-world latency must be considered.</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Therefore, 5G should be viewed as an important enabling technology for Industry 4.0 robotic automation rather than a standalone solution. When combined with edge computing, AI, IoT and appropriate redundancy, 5G can help create flexible, intelligent and highly automated smart factories.</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Times New Roman" w:hAnsi="Times New Roman" w:cs="Times New Roman" w:eastAsia="Times New Roman"/>
          <w:b/>
          <w:color w:val="365F91"/>
          <w:spacing w:val="0"/>
          <w:position w:val="0"/>
          <w:sz w:val="28"/>
          <w:shd w:fill="auto" w:val="clear"/>
        </w:rPr>
        <w:t xml:space="preserve">18. References</w:t>
      </w:r>
    </w:p>
    <w:p>
      <w:pPr>
        <w:spacing w:before="0" w:after="12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NIST, Software-based 5G Industrial Wireless Private Networks: Challenges and Opportunities for Mission-Critical and Time-Sensitive Applications, 2026.</w:t>
        <w:br/>
        <w:t xml:space="preserve">2. GSMA, How Ultra Reliable 5G Could Transform Manufacturing, industrial 5G and Bosch robotic inspection use case.</w:t>
        <w:br/>
        <w:t xml:space="preserve">3. Willig et al., Performance of 5G Trials for Industrial Automation, Electronics, MDPI.</w:t>
        <w:br/>
        <w:t xml:space="preserve">4. Empirical Performance Evaluation of 5G Millimeter Wave System for Industrial-Use Cases in Real Production Environment, 2025.</w:t>
        <w:br/>
        <w:t xml:space="preserve">5. O'Brien et al., Multi-Connectivity for Industrial Automation: Achieving Deterministic Reliability Through Private 5G, Public 5G/LTE, and Wi-Fi Integration, IEEE Access, 2026.</w:t>
        <w:br/>
        <w:t xml:space="preserve">6. 5G Advantages in Manufacturing: A Vision Beyond the Speed and Latency Advantages, Procedia Computer Science, 2026.</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480" w:after="0" w:line="276"/>
        <w:ind w:right="-448"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Code of Conduct:</w:t>
      </w:r>
    </w:p>
    <w:p>
      <w:pPr>
        <w:spacing w:before="0" w:after="0" w:line="276"/>
        <w:ind w:right="0" w:left="0" w:firstLine="0"/>
        <w:jc w:val="left"/>
        <w:rPr>
          <w:rFonts w:ascii="Times New Roman" w:hAnsi="Times New Roman" w:cs="Times New Roman" w:eastAsia="Times New Roman"/>
          <w:i/>
          <w:color w:val="auto"/>
          <w:spacing w:val="0"/>
          <w:position w:val="0"/>
          <w:sz w:val="24"/>
          <w:shd w:fill="auto" w:val="clear"/>
        </w:rPr>
      </w:pPr>
    </w:p>
    <w:p>
      <w:pPr>
        <w:spacing w:before="0" w:after="0" w:line="36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I ____________________ (Name / Reg No) certify that this submission is my original work and that I have adhered to the guidelines specified for this assessment.</w:t>
      </w:r>
    </w:p>
    <w:p>
      <w:pPr>
        <w:spacing w:before="0" w:after="0" w:line="360"/>
        <w:ind w:right="0" w:left="0" w:firstLine="0"/>
        <w:jc w:val="both"/>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I understand that any violation of academic integrity rules will result in disciplinary action.</w:t>
      </w:r>
    </w:p>
    <w:p>
      <w:pPr>
        <w:spacing w:before="0" w:after="0" w:line="276"/>
        <w:ind w:right="0" w:left="0" w:firstLine="0"/>
        <w:jc w:val="left"/>
        <w:rPr>
          <w:rFonts w:ascii="Times New Roman" w:hAnsi="Times New Roman" w:cs="Times New Roman" w:eastAsia="Times New Roman"/>
          <w:i/>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Signature of the student: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RUBRICS FOR CALCULATION:</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tbl>
      <w:tblPr/>
      <w:tblGrid>
        <w:gridCol w:w="1538"/>
        <w:gridCol w:w="1228"/>
        <w:gridCol w:w="1671"/>
        <w:gridCol w:w="1653"/>
        <w:gridCol w:w="1608"/>
        <w:gridCol w:w="1547"/>
      </w:tblGrid>
      <w:tr>
        <w:trPr>
          <w:trHeight w:val="615" w:hRule="auto"/>
          <w:jc w:val="left"/>
        </w:trPr>
        <w:tc>
          <w:tcPr>
            <w:tcW w:w="9245" w:type="dxa"/>
            <w:gridSpan w:val="6"/>
            <w:tcBorders>
              <w:top w:val="single" w:color="000000" w:sz="4"/>
              <w:left w:val="single" w:color="000000" w:sz="4"/>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Article Review</w:t>
            </w:r>
          </w:p>
        </w:tc>
      </w:tr>
      <w:tr>
        <w:trPr>
          <w:trHeight w:val="615" w:hRule="auto"/>
          <w:jc w:val="left"/>
        </w:trPr>
        <w:tc>
          <w:tcPr>
            <w:tcW w:w="1538" w:type="dxa"/>
            <w:tcBorders>
              <w:top w:val="single" w:color="836967" w:sz="0"/>
              <w:left w:val="single" w:color="000000" w:sz="4"/>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Criteria</w:t>
            </w:r>
          </w:p>
        </w:tc>
        <w:tc>
          <w:tcPr>
            <w:tcW w:w="1228" w:type="dxa"/>
            <w:tcBorders>
              <w:top w:val="single" w:color="836967" w:sz="0"/>
              <w:left w:val="single" w:color="836967" w:sz="0"/>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Weightage</w:t>
            </w:r>
          </w:p>
        </w:tc>
        <w:tc>
          <w:tcPr>
            <w:tcW w:w="1671" w:type="dxa"/>
            <w:tcBorders>
              <w:top w:val="single" w:color="836967" w:sz="0"/>
              <w:left w:val="single" w:color="836967" w:sz="0"/>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Level 4 (Exemplary)</w:t>
            </w:r>
          </w:p>
        </w:tc>
        <w:tc>
          <w:tcPr>
            <w:tcW w:w="1653" w:type="dxa"/>
            <w:tcBorders>
              <w:top w:val="single" w:color="836967" w:sz="0"/>
              <w:left w:val="single" w:color="836967" w:sz="0"/>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Level 3 (Proficient)</w:t>
            </w:r>
          </w:p>
        </w:tc>
        <w:tc>
          <w:tcPr>
            <w:tcW w:w="1608" w:type="dxa"/>
            <w:tcBorders>
              <w:top w:val="single" w:color="836967" w:sz="0"/>
              <w:left w:val="single" w:color="836967" w:sz="0"/>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Level 2 (Developing)</w:t>
            </w:r>
          </w:p>
        </w:tc>
        <w:tc>
          <w:tcPr>
            <w:tcW w:w="1547" w:type="dxa"/>
            <w:tcBorders>
              <w:top w:val="single" w:color="836967" w:sz="0"/>
              <w:left w:val="single" w:color="836967" w:sz="0"/>
              <w:bottom w:val="single" w:color="000000" w:sz="4"/>
              <w:right w:val="single" w:color="000000" w:sz="4"/>
            </w:tcBorders>
            <w:shd w:color="00ffff" w:fill="00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Level 1 (Beginning)</w:t>
            </w:r>
          </w:p>
        </w:tc>
      </w:tr>
      <w:tr>
        <w:trPr>
          <w:trHeight w:val="792" w:hRule="auto"/>
          <w:jc w:val="left"/>
        </w:trPr>
        <w:tc>
          <w:tcPr>
            <w:tcW w:w="1538" w:type="dxa"/>
            <w:tcBorders>
              <w:top w:val="single" w:color="836967" w:sz="0"/>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Understanding of Article</w:t>
            </w:r>
          </w:p>
        </w:tc>
        <w:tc>
          <w:tcPr>
            <w:tcW w:w="122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w:t>
            </w:r>
          </w:p>
        </w:tc>
        <w:tc>
          <w:tcPr>
            <w:tcW w:w="1671"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Demonstrates clear and in-depth understanding of the article’s purpose, concepts, and arguments</w:t>
            </w:r>
          </w:p>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w:t>
            </w:r>
          </w:p>
        </w:tc>
        <w:tc>
          <w:tcPr>
            <w:tcW w:w="1653"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Shows good understanding with minor gaps</w:t>
            </w:r>
          </w:p>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(15)</w:t>
            </w:r>
          </w:p>
        </w:tc>
        <w:tc>
          <w:tcPr>
            <w:tcW w:w="160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Partial understanding; misses key ideas(10)</w:t>
            </w:r>
          </w:p>
        </w:tc>
        <w:tc>
          <w:tcPr>
            <w:tcW w:w="1547"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Lacks understanding of the article(5)</w:t>
            </w:r>
          </w:p>
        </w:tc>
      </w:tr>
      <w:tr>
        <w:trPr>
          <w:trHeight w:val="1056" w:hRule="auto"/>
          <w:jc w:val="left"/>
        </w:trPr>
        <w:tc>
          <w:tcPr>
            <w:tcW w:w="1538" w:type="dxa"/>
            <w:tcBorders>
              <w:top w:val="single" w:color="836967" w:sz="0"/>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Summary</w:t>
            </w:r>
          </w:p>
        </w:tc>
        <w:tc>
          <w:tcPr>
            <w:tcW w:w="122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w:t>
            </w:r>
          </w:p>
        </w:tc>
        <w:tc>
          <w:tcPr>
            <w:tcW w:w="1671"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Provides concise and accurate summary highlighting all key points</w:t>
            </w:r>
          </w:p>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w:t>
            </w:r>
          </w:p>
        </w:tc>
        <w:tc>
          <w:tcPr>
            <w:tcW w:w="1653"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Covers most key points with minor omissions(15)</w:t>
            </w:r>
          </w:p>
        </w:tc>
        <w:tc>
          <w:tcPr>
            <w:tcW w:w="160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Incomplete or partially accurate summary(10)</w:t>
            </w:r>
          </w:p>
        </w:tc>
        <w:tc>
          <w:tcPr>
            <w:tcW w:w="1547"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Poor or incorrect summary(5)</w:t>
            </w:r>
          </w:p>
        </w:tc>
      </w:tr>
      <w:tr>
        <w:trPr>
          <w:trHeight w:val="792" w:hRule="auto"/>
          <w:jc w:val="left"/>
        </w:trPr>
        <w:tc>
          <w:tcPr>
            <w:tcW w:w="1538" w:type="dxa"/>
            <w:tcBorders>
              <w:top w:val="single" w:color="836967" w:sz="0"/>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Critical Analysis</w:t>
            </w:r>
          </w:p>
        </w:tc>
        <w:tc>
          <w:tcPr>
            <w:tcW w:w="122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25%</w:t>
            </w:r>
          </w:p>
        </w:tc>
        <w:tc>
          <w:tcPr>
            <w:tcW w:w="1671"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Provides insightful critique with strong reasoning and evaluation</w:t>
            </w:r>
          </w:p>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(25)</w:t>
            </w:r>
          </w:p>
        </w:tc>
        <w:tc>
          <w:tcPr>
            <w:tcW w:w="1653"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Provides reasonable analysis with some justification(20)</w:t>
            </w:r>
          </w:p>
        </w:tc>
        <w:tc>
          <w:tcPr>
            <w:tcW w:w="160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Superficial analysis; limited evaluation(10)</w:t>
            </w:r>
          </w:p>
        </w:tc>
        <w:tc>
          <w:tcPr>
            <w:tcW w:w="1547"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No meaningful analysis(5)</w:t>
            </w:r>
          </w:p>
        </w:tc>
      </w:tr>
      <w:tr>
        <w:trPr>
          <w:trHeight w:val="1056" w:hRule="auto"/>
          <w:jc w:val="left"/>
        </w:trPr>
        <w:tc>
          <w:tcPr>
            <w:tcW w:w="1538" w:type="dxa"/>
            <w:tcBorders>
              <w:top w:val="single" w:color="836967" w:sz="0"/>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Use of Evidence</w:t>
            </w:r>
          </w:p>
        </w:tc>
        <w:tc>
          <w:tcPr>
            <w:tcW w:w="122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15%</w:t>
            </w:r>
          </w:p>
        </w:tc>
        <w:tc>
          <w:tcPr>
            <w:tcW w:w="1671"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Effectively uses examples, data, or references to support review</w:t>
            </w:r>
          </w:p>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(15)</w:t>
            </w:r>
          </w:p>
        </w:tc>
        <w:tc>
          <w:tcPr>
            <w:tcW w:w="1653"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Uses some supporting evidence with minor gaps(10)</w:t>
            </w:r>
          </w:p>
        </w:tc>
        <w:tc>
          <w:tcPr>
            <w:tcW w:w="160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Limited or weak supporting evidence(5)</w:t>
            </w:r>
          </w:p>
        </w:tc>
        <w:tc>
          <w:tcPr>
            <w:tcW w:w="1547"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No supporting evidence provided(2)</w:t>
            </w:r>
          </w:p>
        </w:tc>
      </w:tr>
      <w:tr>
        <w:trPr>
          <w:trHeight w:val="792" w:hRule="auto"/>
          <w:jc w:val="left"/>
        </w:trPr>
        <w:tc>
          <w:tcPr>
            <w:tcW w:w="1538" w:type="dxa"/>
            <w:tcBorders>
              <w:top w:val="single" w:color="836967" w:sz="0"/>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Organization</w:t>
            </w:r>
          </w:p>
        </w:tc>
        <w:tc>
          <w:tcPr>
            <w:tcW w:w="122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w:t>
            </w:r>
          </w:p>
        </w:tc>
        <w:tc>
          <w:tcPr>
            <w:tcW w:w="1671"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Well-structured, clear, and coherent writing with proper language and flow</w:t>
            </w:r>
          </w:p>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(20)</w:t>
            </w:r>
          </w:p>
        </w:tc>
        <w:tc>
          <w:tcPr>
            <w:tcW w:w="1653"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Generally clear with minor issues(15)</w:t>
            </w:r>
          </w:p>
        </w:tc>
        <w:tc>
          <w:tcPr>
            <w:tcW w:w="1608"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Poor organization; lacks clarity(10)</w:t>
            </w:r>
          </w:p>
        </w:tc>
        <w:tc>
          <w:tcPr>
            <w:tcW w:w="1547" w:type="dxa"/>
            <w:tcBorders>
              <w:top w:val="single" w:color="836967" w:sz="0"/>
              <w:left w:val="single" w:color="836967" w:sz="0"/>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rFonts w:ascii="Times New Roman" w:hAnsi="Times New Roman" w:cs="Times New Roman" w:eastAsia="Times New Roman"/>
                <w:spacing w:val="0"/>
                <w:position w:val="0"/>
                <w:shd w:fill="auto" w:val="clear"/>
              </w:rPr>
            </w:pPr>
            <w:r>
              <w:rPr>
                <w:rFonts w:ascii="Times New Roman" w:hAnsi="Times New Roman" w:cs="Times New Roman" w:eastAsia="Times New Roman"/>
                <w:color w:val="000000"/>
                <w:spacing w:val="0"/>
                <w:position w:val="0"/>
                <w:sz w:val="20"/>
                <w:shd w:fill="auto" w:val="clear"/>
              </w:rPr>
              <w:t xml:space="preserve">Disorganized and difficult to understand(5)</w:t>
            </w:r>
          </w:p>
        </w:tc>
      </w:tr>
    </w:tbl>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