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59373" w14:textId="77777777" w:rsidR="000D51DB" w:rsidRPr="00CB1FF3" w:rsidRDefault="00CB1FF3" w:rsidP="000A70FC">
      <w:pPr>
        <w:spacing w:after="40"/>
        <w:jc w:val="center"/>
        <w:rPr>
          <w:rFonts w:ascii="Times New Roman" w:hAnsi="Times New Roman" w:cs="Times New Roman"/>
        </w:rPr>
      </w:pPr>
      <w:r w:rsidRPr="00CB1FF3">
        <w:rPr>
          <w:rFonts w:ascii="Times New Roman" w:hAnsi="Times New Roman" w:cs="Times New Roman"/>
          <w:b/>
          <w:color w:val="1A365D"/>
        </w:rPr>
        <w:t>HARAMAYA UNIVERSITY</w:t>
      </w:r>
      <w:r w:rsidRPr="00CB1FF3">
        <w:rPr>
          <w:rFonts w:ascii="Times New Roman" w:hAnsi="Times New Roman" w:cs="Times New Roman"/>
          <w:b/>
          <w:color w:val="1A365D"/>
        </w:rPr>
        <w:br/>
        <w:t>POSTGRADUATE PROGRAM DIRECTORATE</w:t>
      </w:r>
      <w:r w:rsidRPr="00CB1FF3">
        <w:rPr>
          <w:rFonts w:ascii="Times New Roman" w:hAnsi="Times New Roman" w:cs="Times New Roman"/>
          <w:b/>
          <w:color w:val="1A365D"/>
        </w:rPr>
        <w:br/>
        <w:t>COLLEGE OF COMPUTING AND INFORMATICS</w:t>
      </w:r>
      <w:r w:rsidRPr="00CB1FF3">
        <w:rPr>
          <w:rFonts w:ascii="Times New Roman" w:hAnsi="Times New Roman" w:cs="Times New Roman"/>
          <w:b/>
          <w:color w:val="1A365D"/>
        </w:rPr>
        <w:br/>
        <w:t>DEPARTMENT OF INFORMATION SCIENCE</w:t>
      </w:r>
    </w:p>
    <w:p w14:paraId="76668874" w14:textId="77777777" w:rsidR="000D51DB" w:rsidRPr="00CB1FF3" w:rsidRDefault="00CB1FF3" w:rsidP="000A70FC">
      <w:pPr>
        <w:spacing w:before="80" w:after="480"/>
        <w:jc w:val="center"/>
        <w:rPr>
          <w:rFonts w:ascii="Times New Roman" w:hAnsi="Times New Roman" w:cs="Times New Roman"/>
        </w:rPr>
      </w:pPr>
      <w:r w:rsidRPr="00CB1FF3">
        <w:rPr>
          <w:rFonts w:ascii="Times New Roman" w:hAnsi="Times New Roman" w:cs="Times New Roman"/>
          <w:b/>
          <w:color w:val="2B6CB0"/>
          <w:sz w:val="24"/>
        </w:rPr>
        <w:t>MASTER OF SCIENCE IN DATA SCIENCE PROGRAM</w:t>
      </w:r>
    </w:p>
    <w:p w14:paraId="568DB6A3" w14:textId="77777777" w:rsidR="000D51DB" w:rsidRPr="00CB1FF3" w:rsidRDefault="00CB1FF3" w:rsidP="000A70FC">
      <w:pPr>
        <w:spacing w:after="160"/>
        <w:jc w:val="center"/>
        <w:rPr>
          <w:rFonts w:ascii="Times New Roman" w:hAnsi="Times New Roman" w:cs="Times New Roman"/>
        </w:rPr>
      </w:pPr>
      <w:r w:rsidRPr="00CB1FF3">
        <w:rPr>
          <w:rFonts w:ascii="Times New Roman" w:hAnsi="Times New Roman" w:cs="Times New Roman"/>
          <w:b/>
          <w:color w:val="1A365D"/>
          <w:sz w:val="40"/>
        </w:rPr>
        <w:t>AI-BASED MULTIMODAL DEEP LEARNING EARLY WARNING SYSTEM FOR DROUGHT, CROP ADVISORY, AND FOOD INSECURITY PREDICTION USING SATELLITE IMAGERY, CLIMATE, VEGETATION, SOCIOECONOMIC, AND AGRICULTURAL DATA IN EASTERN ETHIOPIA</w:t>
      </w:r>
    </w:p>
    <w:p w14:paraId="15A465A8" w14:textId="77777777" w:rsidR="000D51DB" w:rsidRPr="00CB1FF3" w:rsidRDefault="00CB1FF3" w:rsidP="000A70FC">
      <w:pPr>
        <w:spacing w:after="360"/>
        <w:jc w:val="center"/>
        <w:rPr>
          <w:rFonts w:ascii="Times New Roman" w:hAnsi="Times New Roman" w:cs="Times New Roman"/>
        </w:rPr>
      </w:pPr>
      <w:r w:rsidRPr="00CB1FF3">
        <w:rPr>
          <w:rFonts w:ascii="Times New Roman" w:hAnsi="Times New Roman" w:cs="Times New Roman"/>
          <w:i/>
          <w:color w:val="2B6CB0"/>
          <w:sz w:val="24"/>
        </w:rPr>
        <w:t>A Super-Hybrid Spatiotemporal Deep Learning Framework Integrating Atmospheric Teleconnections, Crop Sensitivity Phenology, Explainable AI, Knowledge Graphs, and Indigenous Ecological Knowledge</w:t>
      </w:r>
    </w:p>
    <w:tbl>
      <w:tblPr>
        <w:tblW w:w="0" w:type="auto"/>
        <w:jc w:val="center"/>
        <w:tblBorders>
          <w:top w:val="single" w:sz="6" w:space="0" w:color="CBD5E0"/>
          <w:bottom w:val="single" w:sz="6" w:space="0" w:color="CBD5E0"/>
          <w:insideH w:val="single" w:sz="4" w:space="0" w:color="CBD5E0"/>
        </w:tblBorders>
        <w:tblLook w:val="04A0" w:firstRow="1" w:lastRow="0" w:firstColumn="1" w:lastColumn="0" w:noHBand="0" w:noVBand="1"/>
      </w:tblPr>
      <w:tblGrid>
        <w:gridCol w:w="3312"/>
        <w:gridCol w:w="6048"/>
      </w:tblGrid>
      <w:tr w:rsidR="000D51DB" w:rsidRPr="00CB1FF3" w14:paraId="3E42A67F" w14:textId="77777777">
        <w:trPr>
          <w:jc w:val="center"/>
        </w:trPr>
        <w:tc>
          <w:tcPr>
            <w:tcW w:w="3312" w:type="dxa"/>
            <w:shd w:val="clear" w:color="auto" w:fill="1A365D"/>
            <w:tcMar>
              <w:top w:w="120" w:type="dxa"/>
              <w:left w:w="150" w:type="dxa"/>
              <w:bottom w:w="120" w:type="dxa"/>
              <w:right w:w="150" w:type="dxa"/>
            </w:tcMar>
          </w:tcPr>
          <w:p w14:paraId="5EDC9AB9"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b/>
                <w:color w:val="FFFFFF"/>
                <w:sz w:val="19"/>
              </w:rPr>
              <w:t>Parameter / Dimension</w:t>
            </w:r>
          </w:p>
        </w:tc>
        <w:tc>
          <w:tcPr>
            <w:tcW w:w="6048" w:type="dxa"/>
            <w:shd w:val="clear" w:color="auto" w:fill="1A365D"/>
            <w:tcMar>
              <w:top w:w="120" w:type="dxa"/>
              <w:left w:w="150" w:type="dxa"/>
              <w:bottom w:w="120" w:type="dxa"/>
              <w:right w:w="150" w:type="dxa"/>
            </w:tcMar>
          </w:tcPr>
          <w:p w14:paraId="502889FE"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b/>
                <w:color w:val="FFFFFF"/>
                <w:sz w:val="19"/>
              </w:rPr>
              <w:t>Thesis Specification</w:t>
            </w:r>
          </w:p>
        </w:tc>
      </w:tr>
      <w:tr w:rsidR="000D51DB" w:rsidRPr="00CB1FF3" w14:paraId="5BE847D9" w14:textId="77777777">
        <w:trPr>
          <w:jc w:val="center"/>
        </w:trPr>
        <w:tc>
          <w:tcPr>
            <w:tcW w:w="3312" w:type="dxa"/>
            <w:shd w:val="clear" w:color="auto" w:fill="FFFFFF"/>
            <w:tcMar>
              <w:top w:w="100" w:type="dxa"/>
              <w:left w:w="150" w:type="dxa"/>
              <w:bottom w:w="100" w:type="dxa"/>
              <w:right w:w="150" w:type="dxa"/>
            </w:tcMar>
          </w:tcPr>
          <w:p w14:paraId="1DFA2C15"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Researcher / Principal Investigator</w:t>
            </w:r>
          </w:p>
        </w:tc>
        <w:tc>
          <w:tcPr>
            <w:tcW w:w="6048" w:type="dxa"/>
            <w:shd w:val="clear" w:color="auto" w:fill="FFFFFF"/>
            <w:tcMar>
              <w:top w:w="100" w:type="dxa"/>
              <w:left w:w="150" w:type="dxa"/>
              <w:bottom w:w="100" w:type="dxa"/>
              <w:right w:w="150" w:type="dxa"/>
            </w:tcMar>
          </w:tcPr>
          <w:p w14:paraId="2179E238"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Bona Nasser Abdo (BSc, Graduate Researcher)</w:t>
            </w:r>
          </w:p>
        </w:tc>
      </w:tr>
      <w:tr w:rsidR="000D51DB" w:rsidRPr="00CB1FF3" w14:paraId="3A5C6064" w14:textId="77777777">
        <w:trPr>
          <w:jc w:val="center"/>
        </w:trPr>
        <w:tc>
          <w:tcPr>
            <w:tcW w:w="3312" w:type="dxa"/>
            <w:shd w:val="clear" w:color="auto" w:fill="F7FAFC"/>
            <w:tcMar>
              <w:top w:w="100" w:type="dxa"/>
              <w:left w:w="150" w:type="dxa"/>
              <w:bottom w:w="100" w:type="dxa"/>
              <w:right w:w="150" w:type="dxa"/>
            </w:tcMar>
          </w:tcPr>
          <w:p w14:paraId="791930F0"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Academic Program</w:t>
            </w:r>
          </w:p>
        </w:tc>
        <w:tc>
          <w:tcPr>
            <w:tcW w:w="6048" w:type="dxa"/>
            <w:shd w:val="clear" w:color="auto" w:fill="F7FAFC"/>
            <w:tcMar>
              <w:top w:w="100" w:type="dxa"/>
              <w:left w:w="150" w:type="dxa"/>
              <w:bottom w:w="100" w:type="dxa"/>
              <w:right w:w="150" w:type="dxa"/>
            </w:tcMar>
          </w:tcPr>
          <w:p w14:paraId="5677509C"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Master of Science (MSc) in Data Science</w:t>
            </w:r>
          </w:p>
        </w:tc>
      </w:tr>
      <w:tr w:rsidR="000D51DB" w:rsidRPr="00CB1FF3" w14:paraId="6535835D" w14:textId="77777777">
        <w:trPr>
          <w:jc w:val="center"/>
        </w:trPr>
        <w:tc>
          <w:tcPr>
            <w:tcW w:w="3312" w:type="dxa"/>
            <w:shd w:val="clear" w:color="auto" w:fill="FFFFFF"/>
            <w:tcMar>
              <w:top w:w="100" w:type="dxa"/>
              <w:left w:w="150" w:type="dxa"/>
              <w:bottom w:w="100" w:type="dxa"/>
              <w:right w:w="150" w:type="dxa"/>
            </w:tcMar>
          </w:tcPr>
          <w:p w14:paraId="04EAAF81"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Department &amp; College</w:t>
            </w:r>
          </w:p>
        </w:tc>
        <w:tc>
          <w:tcPr>
            <w:tcW w:w="6048" w:type="dxa"/>
            <w:shd w:val="clear" w:color="auto" w:fill="FFFFFF"/>
            <w:tcMar>
              <w:top w:w="100" w:type="dxa"/>
              <w:left w:w="150" w:type="dxa"/>
              <w:bottom w:w="100" w:type="dxa"/>
              <w:right w:w="150" w:type="dxa"/>
            </w:tcMar>
          </w:tcPr>
          <w:p w14:paraId="3A5B8CCE"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Department of Information Science | College of Computing and Informatics</w:t>
            </w:r>
          </w:p>
        </w:tc>
      </w:tr>
      <w:tr w:rsidR="000D51DB" w:rsidRPr="00CB1FF3" w14:paraId="591AEC24" w14:textId="77777777">
        <w:trPr>
          <w:jc w:val="center"/>
        </w:trPr>
        <w:tc>
          <w:tcPr>
            <w:tcW w:w="3312" w:type="dxa"/>
            <w:shd w:val="clear" w:color="auto" w:fill="F7FAFC"/>
            <w:tcMar>
              <w:top w:w="100" w:type="dxa"/>
              <w:left w:w="150" w:type="dxa"/>
              <w:bottom w:w="100" w:type="dxa"/>
              <w:right w:w="150" w:type="dxa"/>
            </w:tcMar>
          </w:tcPr>
          <w:p w14:paraId="50FD8065"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Host Institution</w:t>
            </w:r>
          </w:p>
        </w:tc>
        <w:tc>
          <w:tcPr>
            <w:tcW w:w="6048" w:type="dxa"/>
            <w:shd w:val="clear" w:color="auto" w:fill="F7FAFC"/>
            <w:tcMar>
              <w:top w:w="100" w:type="dxa"/>
              <w:left w:w="150" w:type="dxa"/>
              <w:bottom w:w="100" w:type="dxa"/>
              <w:right w:w="150" w:type="dxa"/>
            </w:tcMar>
          </w:tcPr>
          <w:p w14:paraId="283374F7"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Haramaya University, Haramaya, Ethiopia</w:t>
            </w:r>
          </w:p>
        </w:tc>
      </w:tr>
      <w:tr w:rsidR="000D51DB" w:rsidRPr="00CB1FF3" w14:paraId="2102B98A" w14:textId="77777777">
        <w:trPr>
          <w:jc w:val="center"/>
        </w:trPr>
        <w:tc>
          <w:tcPr>
            <w:tcW w:w="3312" w:type="dxa"/>
            <w:shd w:val="clear" w:color="auto" w:fill="FFFFFF"/>
            <w:tcMar>
              <w:top w:w="100" w:type="dxa"/>
              <w:left w:w="150" w:type="dxa"/>
              <w:bottom w:w="100" w:type="dxa"/>
              <w:right w:w="150" w:type="dxa"/>
            </w:tcMar>
          </w:tcPr>
          <w:p w14:paraId="78E1F4B2"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Target Geographic Scope</w:t>
            </w:r>
          </w:p>
        </w:tc>
        <w:tc>
          <w:tcPr>
            <w:tcW w:w="6048" w:type="dxa"/>
            <w:shd w:val="clear" w:color="auto" w:fill="FFFFFF"/>
            <w:tcMar>
              <w:top w:w="100" w:type="dxa"/>
              <w:left w:w="150" w:type="dxa"/>
              <w:bottom w:w="100" w:type="dxa"/>
              <w:right w:w="150" w:type="dxa"/>
            </w:tcMar>
          </w:tcPr>
          <w:p w14:paraId="0F7545C8"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Eastern Ethiopia (Eastern Hararghe / East Hararge Zone, Oromia Regional State)</w:t>
            </w:r>
          </w:p>
        </w:tc>
      </w:tr>
      <w:tr w:rsidR="000D51DB" w:rsidRPr="00CB1FF3" w14:paraId="7BB47387" w14:textId="77777777">
        <w:trPr>
          <w:jc w:val="center"/>
        </w:trPr>
        <w:tc>
          <w:tcPr>
            <w:tcW w:w="3312" w:type="dxa"/>
            <w:shd w:val="clear" w:color="auto" w:fill="F7FAFC"/>
            <w:tcMar>
              <w:top w:w="100" w:type="dxa"/>
              <w:left w:w="150" w:type="dxa"/>
              <w:bottom w:w="100" w:type="dxa"/>
              <w:right w:w="150" w:type="dxa"/>
            </w:tcMar>
          </w:tcPr>
          <w:p w14:paraId="0094993C"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Primary Spatial Unit</w:t>
            </w:r>
          </w:p>
        </w:tc>
        <w:tc>
          <w:tcPr>
            <w:tcW w:w="6048" w:type="dxa"/>
            <w:shd w:val="clear" w:color="auto" w:fill="F7FAFC"/>
            <w:tcMar>
              <w:top w:w="100" w:type="dxa"/>
              <w:left w:w="150" w:type="dxa"/>
              <w:bottom w:w="100" w:type="dxa"/>
              <w:right w:w="150" w:type="dxa"/>
            </w:tcMar>
          </w:tcPr>
          <w:p w14:paraId="5FC74BD1"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Woreda (Admin 3) and High-Resolution Topographic Grid (8×8 Discretization)</w:t>
            </w:r>
          </w:p>
        </w:tc>
      </w:tr>
      <w:tr w:rsidR="000D51DB" w:rsidRPr="00CB1FF3" w14:paraId="4D9E626C" w14:textId="77777777">
        <w:trPr>
          <w:jc w:val="center"/>
        </w:trPr>
        <w:tc>
          <w:tcPr>
            <w:tcW w:w="3312" w:type="dxa"/>
            <w:shd w:val="clear" w:color="auto" w:fill="FFFFFF"/>
            <w:tcMar>
              <w:top w:w="100" w:type="dxa"/>
              <w:left w:w="150" w:type="dxa"/>
              <w:bottom w:w="100" w:type="dxa"/>
              <w:right w:w="150" w:type="dxa"/>
            </w:tcMar>
          </w:tcPr>
          <w:p w14:paraId="54C10F35"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Core Integrated Modeling Window</w:t>
            </w:r>
          </w:p>
        </w:tc>
        <w:tc>
          <w:tcPr>
            <w:tcW w:w="6048" w:type="dxa"/>
            <w:shd w:val="clear" w:color="auto" w:fill="FFFFFF"/>
            <w:tcMar>
              <w:top w:w="100" w:type="dxa"/>
              <w:left w:w="150" w:type="dxa"/>
              <w:bottom w:w="100" w:type="dxa"/>
              <w:right w:w="150" w:type="dxa"/>
            </w:tcMar>
          </w:tcPr>
          <w:p w14:paraId="0D714630"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2015–2026 (Integrated Multimodal Data); 1990–2026 (Climatological Baselines)</w:t>
            </w:r>
          </w:p>
        </w:tc>
      </w:tr>
      <w:tr w:rsidR="000D51DB" w:rsidRPr="00CB1FF3" w14:paraId="049E8426" w14:textId="77777777">
        <w:trPr>
          <w:jc w:val="center"/>
        </w:trPr>
        <w:tc>
          <w:tcPr>
            <w:tcW w:w="3312" w:type="dxa"/>
            <w:shd w:val="clear" w:color="auto" w:fill="F7FAFC"/>
            <w:tcMar>
              <w:top w:w="100" w:type="dxa"/>
              <w:left w:w="150" w:type="dxa"/>
              <w:bottom w:w="100" w:type="dxa"/>
              <w:right w:w="150" w:type="dxa"/>
            </w:tcMar>
          </w:tcPr>
          <w:p w14:paraId="5032B1E9"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Target Forecast Horizons</w:t>
            </w:r>
          </w:p>
        </w:tc>
        <w:tc>
          <w:tcPr>
            <w:tcW w:w="6048" w:type="dxa"/>
            <w:shd w:val="clear" w:color="auto" w:fill="F7FAFC"/>
            <w:tcMar>
              <w:top w:w="100" w:type="dxa"/>
              <w:left w:w="150" w:type="dxa"/>
              <w:bottom w:w="100" w:type="dxa"/>
              <w:right w:w="150" w:type="dxa"/>
            </w:tcMar>
          </w:tcPr>
          <w:p w14:paraId="43E007F8"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Lead 1 (1 Month, Quantitative Probability Map); Leads 2–3 (Multi-Lead Seasonal Outlooks)</w:t>
            </w:r>
          </w:p>
        </w:tc>
      </w:tr>
      <w:tr w:rsidR="000D51DB" w:rsidRPr="00CB1FF3" w14:paraId="7500A111" w14:textId="77777777">
        <w:trPr>
          <w:jc w:val="center"/>
        </w:trPr>
        <w:tc>
          <w:tcPr>
            <w:tcW w:w="3312" w:type="dxa"/>
            <w:shd w:val="clear" w:color="auto" w:fill="FFFFFF"/>
            <w:tcMar>
              <w:top w:w="100" w:type="dxa"/>
              <w:left w:w="150" w:type="dxa"/>
              <w:bottom w:w="100" w:type="dxa"/>
              <w:right w:w="150" w:type="dxa"/>
            </w:tcMar>
          </w:tcPr>
          <w:p w14:paraId="50404B1E"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lastRenderedPageBreak/>
              <w:t>Core Methodological Paradigms</w:t>
            </w:r>
          </w:p>
        </w:tc>
        <w:tc>
          <w:tcPr>
            <w:tcW w:w="6048" w:type="dxa"/>
            <w:shd w:val="clear" w:color="auto" w:fill="FFFFFF"/>
            <w:tcMar>
              <w:top w:w="100" w:type="dxa"/>
              <w:left w:w="150" w:type="dxa"/>
              <w:bottom w:w="100" w:type="dxa"/>
              <w:right w:w="150" w:type="dxa"/>
            </w:tcMar>
          </w:tcPr>
          <w:p w14:paraId="4D8EA945"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Super-Hybrid CNN-LSTM-Fourier Deep Learning, Multimodal Cross-Attention Fusion, Sc-PDSI Climatology</w:t>
            </w:r>
          </w:p>
        </w:tc>
      </w:tr>
      <w:tr w:rsidR="000D51DB" w:rsidRPr="00CB1FF3" w14:paraId="6DF2F736" w14:textId="77777777">
        <w:trPr>
          <w:jc w:val="center"/>
        </w:trPr>
        <w:tc>
          <w:tcPr>
            <w:tcW w:w="3312" w:type="dxa"/>
            <w:shd w:val="clear" w:color="auto" w:fill="F7FAFC"/>
            <w:tcMar>
              <w:top w:w="100" w:type="dxa"/>
              <w:left w:w="150" w:type="dxa"/>
              <w:bottom w:w="100" w:type="dxa"/>
              <w:right w:w="150" w:type="dxa"/>
            </w:tcMar>
          </w:tcPr>
          <w:p w14:paraId="343003AF"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Applied Decision-Support Layer</w:t>
            </w:r>
          </w:p>
        </w:tc>
        <w:tc>
          <w:tcPr>
            <w:tcW w:w="6048" w:type="dxa"/>
            <w:shd w:val="clear" w:color="auto" w:fill="F7FAFC"/>
            <w:tcMar>
              <w:top w:w="100" w:type="dxa"/>
              <w:left w:w="150" w:type="dxa"/>
              <w:bottom w:w="100" w:type="dxa"/>
              <w:right w:w="150" w:type="dxa"/>
            </w:tcMar>
          </w:tcPr>
          <w:p w14:paraId="310A29D1"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Hararghe AgroAlert AI / AgriMinds Enterprise Decision Platform (Web Command + Offline Mobile)</w:t>
            </w:r>
          </w:p>
        </w:tc>
      </w:tr>
      <w:tr w:rsidR="000D51DB" w:rsidRPr="00CB1FF3" w14:paraId="7DEDBA27" w14:textId="77777777">
        <w:trPr>
          <w:jc w:val="center"/>
        </w:trPr>
        <w:tc>
          <w:tcPr>
            <w:tcW w:w="3312" w:type="dxa"/>
            <w:shd w:val="clear" w:color="auto" w:fill="FFFFFF"/>
            <w:tcMar>
              <w:top w:w="100" w:type="dxa"/>
              <w:left w:w="150" w:type="dxa"/>
              <w:bottom w:w="100" w:type="dxa"/>
              <w:right w:w="150" w:type="dxa"/>
            </w:tcMar>
          </w:tcPr>
          <w:p w14:paraId="1D02CCFA"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Submission Date &amp; Academic Year</w:t>
            </w:r>
          </w:p>
        </w:tc>
        <w:tc>
          <w:tcPr>
            <w:tcW w:w="6048" w:type="dxa"/>
            <w:shd w:val="clear" w:color="auto" w:fill="FFFFFF"/>
            <w:tcMar>
              <w:top w:w="100" w:type="dxa"/>
              <w:left w:w="150" w:type="dxa"/>
              <w:bottom w:w="100" w:type="dxa"/>
              <w:right w:w="150" w:type="dxa"/>
            </w:tcMar>
          </w:tcPr>
          <w:p w14:paraId="0F7E5E20"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Academic Year 2026/2027 | Haramaya, Ethiopia</w:t>
            </w:r>
          </w:p>
        </w:tc>
      </w:tr>
    </w:tbl>
    <w:p w14:paraId="240B63C7" w14:textId="77777777" w:rsidR="000D51DB" w:rsidRPr="00CB1FF3" w:rsidRDefault="00CB1FF3" w:rsidP="00CB1FF3">
      <w:pPr>
        <w:jc w:val="both"/>
        <w:rPr>
          <w:rFonts w:ascii="Times New Roman" w:hAnsi="Times New Roman" w:cs="Times New Roman"/>
        </w:rPr>
      </w:pPr>
      <w:r w:rsidRPr="00CB1FF3">
        <w:rPr>
          <w:rFonts w:ascii="Times New Roman" w:hAnsi="Times New Roman" w:cs="Times New Roman"/>
        </w:rPr>
        <w:br w:type="page"/>
      </w:r>
    </w:p>
    <w:p w14:paraId="63FF9BA3" w14:textId="77777777" w:rsidR="000D51DB" w:rsidRPr="00CB1FF3" w:rsidRDefault="00CB1FF3" w:rsidP="00CB1FF3">
      <w:pPr>
        <w:keepNext/>
        <w:spacing w:before="320" w:after="120"/>
        <w:jc w:val="both"/>
        <w:rPr>
          <w:rFonts w:ascii="Times New Roman" w:hAnsi="Times New Roman" w:cs="Times New Roman"/>
        </w:rPr>
      </w:pPr>
      <w:r w:rsidRPr="00CB1FF3">
        <w:rPr>
          <w:rFonts w:ascii="Times New Roman" w:hAnsi="Times New Roman" w:cs="Times New Roman"/>
          <w:b/>
          <w:color w:val="1A365D"/>
          <w:sz w:val="28"/>
        </w:rPr>
        <w:lastRenderedPageBreak/>
        <w:t>DECLARATION OF ORIGINAL RESEARCH</w:t>
      </w:r>
    </w:p>
    <w:p w14:paraId="6002ADF4"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I, the undersigned, hereby declare that this thesis concept note titled 'AI-Based Multimodal Deep Learning Early Warning System for Drought, Crop Advisory, and Food Insecurity Prediction Using Satellite Imagery, Climate, Vegetation, Socioeconomic, and Agricultural Data in Eastern Ethiopia' is my original work and has not been submitted previously in part or in full to any other university or institution for the award of any degree, diploma, or academic recognition. All primary data sources, satellite repositories, open-access meteorological products, software frameworks, and published scientific literature cited herein have been rigorously acknowledged in complete conformity with international academic standards and Haramaya University research ethics regulations.</w:t>
      </w:r>
    </w:p>
    <w:p w14:paraId="61D85F80" w14:textId="77777777" w:rsidR="000D51DB" w:rsidRPr="00CB1FF3" w:rsidRDefault="00CB1FF3" w:rsidP="00CB1FF3">
      <w:pPr>
        <w:spacing w:before="360" w:after="480"/>
        <w:jc w:val="both"/>
        <w:rPr>
          <w:rFonts w:ascii="Times New Roman" w:hAnsi="Times New Roman" w:cs="Times New Roman"/>
        </w:rPr>
      </w:pPr>
      <w:r w:rsidRPr="00CB1FF3">
        <w:rPr>
          <w:rFonts w:ascii="Times New Roman" w:hAnsi="Times New Roman" w:cs="Times New Roman"/>
        </w:rPr>
        <w:t>Candidate Name: Bona Nasser Abdo</w:t>
      </w:r>
      <w:r w:rsidRPr="00CB1FF3">
        <w:rPr>
          <w:rFonts w:ascii="Times New Roman" w:hAnsi="Times New Roman" w:cs="Times New Roman"/>
        </w:rPr>
        <w:br/>
        <w:t>Signature: ___________________________</w:t>
      </w:r>
      <w:r w:rsidRPr="00CB1FF3">
        <w:rPr>
          <w:rFonts w:ascii="Times New Roman" w:hAnsi="Times New Roman" w:cs="Times New Roman"/>
        </w:rPr>
        <w:tab/>
      </w:r>
      <w:r w:rsidRPr="00CB1FF3">
        <w:rPr>
          <w:rFonts w:ascii="Times New Roman" w:hAnsi="Times New Roman" w:cs="Times New Roman"/>
        </w:rPr>
        <w:tab/>
        <w:t>Date: ___________________________</w:t>
      </w:r>
    </w:p>
    <w:p w14:paraId="44D4A6FD" w14:textId="77777777" w:rsidR="000D51DB" w:rsidRPr="00CB1FF3" w:rsidRDefault="00CB1FF3" w:rsidP="00CB1FF3">
      <w:pPr>
        <w:keepNext/>
        <w:spacing w:before="320" w:after="120"/>
        <w:jc w:val="both"/>
        <w:rPr>
          <w:rFonts w:ascii="Times New Roman" w:hAnsi="Times New Roman" w:cs="Times New Roman"/>
        </w:rPr>
      </w:pPr>
      <w:r w:rsidRPr="00CB1FF3">
        <w:rPr>
          <w:rFonts w:ascii="Times New Roman" w:hAnsi="Times New Roman" w:cs="Times New Roman"/>
          <w:b/>
          <w:color w:val="1A365D"/>
          <w:sz w:val="28"/>
        </w:rPr>
        <w:t>APPROVAL SHEET FOR THESIS CONCEPT NOTE</w:t>
      </w:r>
    </w:p>
    <w:p w14:paraId="2D170A8F"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This thesis concept note has been submitted for official academic review, defense, and approval with our endorsement as university advisors and examiners:</w:t>
      </w:r>
    </w:p>
    <w:tbl>
      <w:tblPr>
        <w:tblW w:w="0" w:type="auto"/>
        <w:jc w:val="center"/>
        <w:tblBorders>
          <w:top w:val="single" w:sz="6" w:space="0" w:color="CBD5E0"/>
          <w:bottom w:val="single" w:sz="6" w:space="0" w:color="CBD5E0"/>
          <w:insideH w:val="single" w:sz="4" w:space="0" w:color="CBD5E0"/>
        </w:tblBorders>
        <w:tblLook w:val="04A0" w:firstRow="1" w:lastRow="0" w:firstColumn="1" w:lastColumn="0" w:noHBand="0" w:noVBand="1"/>
      </w:tblPr>
      <w:tblGrid>
        <w:gridCol w:w="2490"/>
        <w:gridCol w:w="3625"/>
        <w:gridCol w:w="1839"/>
        <w:gridCol w:w="1706"/>
      </w:tblGrid>
      <w:tr w:rsidR="000D51DB" w:rsidRPr="00CB1FF3" w14:paraId="36E74CBD" w14:textId="77777777">
        <w:trPr>
          <w:jc w:val="center"/>
        </w:trPr>
        <w:tc>
          <w:tcPr>
            <w:tcW w:w="2592" w:type="dxa"/>
            <w:shd w:val="clear" w:color="auto" w:fill="1A365D"/>
            <w:tcMar>
              <w:top w:w="120" w:type="dxa"/>
              <w:left w:w="150" w:type="dxa"/>
              <w:bottom w:w="120" w:type="dxa"/>
              <w:right w:w="150" w:type="dxa"/>
            </w:tcMar>
          </w:tcPr>
          <w:p w14:paraId="67FCD0D6"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b/>
                <w:color w:val="FFFFFF"/>
                <w:sz w:val="19"/>
              </w:rPr>
              <w:t>Role / Designation</w:t>
            </w:r>
          </w:p>
        </w:tc>
        <w:tc>
          <w:tcPr>
            <w:tcW w:w="3168" w:type="dxa"/>
            <w:shd w:val="clear" w:color="auto" w:fill="1A365D"/>
            <w:tcMar>
              <w:top w:w="120" w:type="dxa"/>
              <w:left w:w="150" w:type="dxa"/>
              <w:bottom w:w="120" w:type="dxa"/>
              <w:right w:w="150" w:type="dxa"/>
            </w:tcMar>
          </w:tcPr>
          <w:p w14:paraId="68E4871E"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b/>
                <w:color w:val="FFFFFF"/>
                <w:sz w:val="19"/>
              </w:rPr>
              <w:t>Name &amp; Academic Title</w:t>
            </w:r>
          </w:p>
        </w:tc>
        <w:tc>
          <w:tcPr>
            <w:tcW w:w="1872" w:type="dxa"/>
            <w:shd w:val="clear" w:color="auto" w:fill="1A365D"/>
            <w:tcMar>
              <w:top w:w="120" w:type="dxa"/>
              <w:left w:w="150" w:type="dxa"/>
              <w:bottom w:w="120" w:type="dxa"/>
              <w:right w:w="150" w:type="dxa"/>
            </w:tcMar>
          </w:tcPr>
          <w:p w14:paraId="222080E3"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b/>
                <w:color w:val="FFFFFF"/>
                <w:sz w:val="19"/>
              </w:rPr>
              <w:t>Signature</w:t>
            </w:r>
          </w:p>
        </w:tc>
        <w:tc>
          <w:tcPr>
            <w:tcW w:w="1728" w:type="dxa"/>
            <w:shd w:val="clear" w:color="auto" w:fill="1A365D"/>
            <w:tcMar>
              <w:top w:w="120" w:type="dxa"/>
              <w:left w:w="150" w:type="dxa"/>
              <w:bottom w:w="120" w:type="dxa"/>
              <w:right w:w="150" w:type="dxa"/>
            </w:tcMar>
          </w:tcPr>
          <w:p w14:paraId="53FD4906"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b/>
                <w:color w:val="FFFFFF"/>
                <w:sz w:val="19"/>
              </w:rPr>
              <w:t>Date</w:t>
            </w:r>
          </w:p>
        </w:tc>
      </w:tr>
      <w:tr w:rsidR="000D51DB" w:rsidRPr="00CB1FF3" w14:paraId="57B171FF" w14:textId="77777777">
        <w:trPr>
          <w:jc w:val="center"/>
        </w:trPr>
        <w:tc>
          <w:tcPr>
            <w:tcW w:w="2592" w:type="dxa"/>
            <w:shd w:val="clear" w:color="auto" w:fill="FFFFFF"/>
            <w:tcMar>
              <w:top w:w="100" w:type="dxa"/>
              <w:left w:w="150" w:type="dxa"/>
              <w:bottom w:w="100" w:type="dxa"/>
              <w:right w:w="150" w:type="dxa"/>
            </w:tcMar>
          </w:tcPr>
          <w:p w14:paraId="6277B52A"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Major Advisor</w:t>
            </w:r>
          </w:p>
        </w:tc>
        <w:tc>
          <w:tcPr>
            <w:tcW w:w="3168" w:type="dxa"/>
            <w:shd w:val="clear" w:color="auto" w:fill="FFFFFF"/>
            <w:tcMar>
              <w:top w:w="100" w:type="dxa"/>
              <w:left w:w="150" w:type="dxa"/>
              <w:bottom w:w="100" w:type="dxa"/>
              <w:right w:w="150" w:type="dxa"/>
            </w:tcMar>
          </w:tcPr>
          <w:p w14:paraId="256E098A"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___________________________________</w:t>
            </w:r>
          </w:p>
        </w:tc>
        <w:tc>
          <w:tcPr>
            <w:tcW w:w="1872" w:type="dxa"/>
            <w:shd w:val="clear" w:color="auto" w:fill="FFFFFF"/>
            <w:tcMar>
              <w:top w:w="100" w:type="dxa"/>
              <w:left w:w="150" w:type="dxa"/>
              <w:bottom w:w="100" w:type="dxa"/>
              <w:right w:w="150" w:type="dxa"/>
            </w:tcMar>
          </w:tcPr>
          <w:p w14:paraId="0970C196"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____________</w:t>
            </w:r>
          </w:p>
        </w:tc>
        <w:tc>
          <w:tcPr>
            <w:tcW w:w="1728" w:type="dxa"/>
            <w:shd w:val="clear" w:color="auto" w:fill="FFFFFF"/>
            <w:tcMar>
              <w:top w:w="100" w:type="dxa"/>
              <w:left w:w="150" w:type="dxa"/>
              <w:bottom w:w="100" w:type="dxa"/>
              <w:right w:w="150" w:type="dxa"/>
            </w:tcMar>
          </w:tcPr>
          <w:p w14:paraId="45BF51C9"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____________</w:t>
            </w:r>
          </w:p>
        </w:tc>
      </w:tr>
      <w:tr w:rsidR="000D51DB" w:rsidRPr="00CB1FF3" w14:paraId="3BA32898" w14:textId="77777777">
        <w:trPr>
          <w:jc w:val="center"/>
        </w:trPr>
        <w:tc>
          <w:tcPr>
            <w:tcW w:w="2592" w:type="dxa"/>
            <w:shd w:val="clear" w:color="auto" w:fill="F7FAFC"/>
            <w:tcMar>
              <w:top w:w="100" w:type="dxa"/>
              <w:left w:w="150" w:type="dxa"/>
              <w:bottom w:w="100" w:type="dxa"/>
              <w:right w:w="150" w:type="dxa"/>
            </w:tcMar>
          </w:tcPr>
          <w:p w14:paraId="4D6F25A4"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Co-Advisor</w:t>
            </w:r>
          </w:p>
        </w:tc>
        <w:tc>
          <w:tcPr>
            <w:tcW w:w="3168" w:type="dxa"/>
            <w:shd w:val="clear" w:color="auto" w:fill="F7FAFC"/>
            <w:tcMar>
              <w:top w:w="100" w:type="dxa"/>
              <w:left w:w="150" w:type="dxa"/>
              <w:bottom w:w="100" w:type="dxa"/>
              <w:right w:w="150" w:type="dxa"/>
            </w:tcMar>
          </w:tcPr>
          <w:p w14:paraId="3C03F4E5"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___________________________________</w:t>
            </w:r>
          </w:p>
        </w:tc>
        <w:tc>
          <w:tcPr>
            <w:tcW w:w="1872" w:type="dxa"/>
            <w:shd w:val="clear" w:color="auto" w:fill="F7FAFC"/>
            <w:tcMar>
              <w:top w:w="100" w:type="dxa"/>
              <w:left w:w="150" w:type="dxa"/>
              <w:bottom w:w="100" w:type="dxa"/>
              <w:right w:w="150" w:type="dxa"/>
            </w:tcMar>
          </w:tcPr>
          <w:p w14:paraId="7ED6D9BE"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____________</w:t>
            </w:r>
          </w:p>
        </w:tc>
        <w:tc>
          <w:tcPr>
            <w:tcW w:w="1728" w:type="dxa"/>
            <w:shd w:val="clear" w:color="auto" w:fill="F7FAFC"/>
            <w:tcMar>
              <w:top w:w="100" w:type="dxa"/>
              <w:left w:w="150" w:type="dxa"/>
              <w:bottom w:w="100" w:type="dxa"/>
              <w:right w:w="150" w:type="dxa"/>
            </w:tcMar>
          </w:tcPr>
          <w:p w14:paraId="136C4516"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____________</w:t>
            </w:r>
          </w:p>
        </w:tc>
      </w:tr>
      <w:tr w:rsidR="000D51DB" w:rsidRPr="00CB1FF3" w14:paraId="7BE0E5DC" w14:textId="77777777">
        <w:trPr>
          <w:jc w:val="center"/>
        </w:trPr>
        <w:tc>
          <w:tcPr>
            <w:tcW w:w="2592" w:type="dxa"/>
            <w:shd w:val="clear" w:color="auto" w:fill="FFFFFF"/>
            <w:tcMar>
              <w:top w:w="100" w:type="dxa"/>
              <w:left w:w="150" w:type="dxa"/>
              <w:bottom w:w="100" w:type="dxa"/>
              <w:right w:w="150" w:type="dxa"/>
            </w:tcMar>
          </w:tcPr>
          <w:p w14:paraId="7D59339F"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Internal Examiner</w:t>
            </w:r>
          </w:p>
        </w:tc>
        <w:tc>
          <w:tcPr>
            <w:tcW w:w="3168" w:type="dxa"/>
            <w:shd w:val="clear" w:color="auto" w:fill="FFFFFF"/>
            <w:tcMar>
              <w:top w:w="100" w:type="dxa"/>
              <w:left w:w="150" w:type="dxa"/>
              <w:bottom w:w="100" w:type="dxa"/>
              <w:right w:w="150" w:type="dxa"/>
            </w:tcMar>
          </w:tcPr>
          <w:p w14:paraId="621E43E2"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___________________________________</w:t>
            </w:r>
          </w:p>
        </w:tc>
        <w:tc>
          <w:tcPr>
            <w:tcW w:w="1872" w:type="dxa"/>
            <w:shd w:val="clear" w:color="auto" w:fill="FFFFFF"/>
            <w:tcMar>
              <w:top w:w="100" w:type="dxa"/>
              <w:left w:w="150" w:type="dxa"/>
              <w:bottom w:w="100" w:type="dxa"/>
              <w:right w:w="150" w:type="dxa"/>
            </w:tcMar>
          </w:tcPr>
          <w:p w14:paraId="3E1F2F4F"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____________</w:t>
            </w:r>
          </w:p>
        </w:tc>
        <w:tc>
          <w:tcPr>
            <w:tcW w:w="1728" w:type="dxa"/>
            <w:shd w:val="clear" w:color="auto" w:fill="FFFFFF"/>
            <w:tcMar>
              <w:top w:w="100" w:type="dxa"/>
              <w:left w:w="150" w:type="dxa"/>
              <w:bottom w:w="100" w:type="dxa"/>
              <w:right w:w="150" w:type="dxa"/>
            </w:tcMar>
          </w:tcPr>
          <w:p w14:paraId="4D66CD5A"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____________</w:t>
            </w:r>
          </w:p>
        </w:tc>
      </w:tr>
      <w:tr w:rsidR="000D51DB" w:rsidRPr="00CB1FF3" w14:paraId="3255DEB8" w14:textId="77777777">
        <w:trPr>
          <w:jc w:val="center"/>
        </w:trPr>
        <w:tc>
          <w:tcPr>
            <w:tcW w:w="2592" w:type="dxa"/>
            <w:shd w:val="clear" w:color="auto" w:fill="F7FAFC"/>
            <w:tcMar>
              <w:top w:w="100" w:type="dxa"/>
              <w:left w:w="150" w:type="dxa"/>
              <w:bottom w:w="100" w:type="dxa"/>
              <w:right w:w="150" w:type="dxa"/>
            </w:tcMar>
          </w:tcPr>
          <w:p w14:paraId="7DDF25E6"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External Examiner</w:t>
            </w:r>
          </w:p>
        </w:tc>
        <w:tc>
          <w:tcPr>
            <w:tcW w:w="3168" w:type="dxa"/>
            <w:shd w:val="clear" w:color="auto" w:fill="F7FAFC"/>
            <w:tcMar>
              <w:top w:w="100" w:type="dxa"/>
              <w:left w:w="150" w:type="dxa"/>
              <w:bottom w:w="100" w:type="dxa"/>
              <w:right w:w="150" w:type="dxa"/>
            </w:tcMar>
          </w:tcPr>
          <w:p w14:paraId="74BDE7DB"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___________________________________</w:t>
            </w:r>
          </w:p>
        </w:tc>
        <w:tc>
          <w:tcPr>
            <w:tcW w:w="1872" w:type="dxa"/>
            <w:shd w:val="clear" w:color="auto" w:fill="F7FAFC"/>
            <w:tcMar>
              <w:top w:w="100" w:type="dxa"/>
              <w:left w:w="150" w:type="dxa"/>
              <w:bottom w:w="100" w:type="dxa"/>
              <w:right w:w="150" w:type="dxa"/>
            </w:tcMar>
          </w:tcPr>
          <w:p w14:paraId="3474ADC7"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____________</w:t>
            </w:r>
          </w:p>
        </w:tc>
        <w:tc>
          <w:tcPr>
            <w:tcW w:w="1728" w:type="dxa"/>
            <w:shd w:val="clear" w:color="auto" w:fill="F7FAFC"/>
            <w:tcMar>
              <w:top w:w="100" w:type="dxa"/>
              <w:left w:w="150" w:type="dxa"/>
              <w:bottom w:w="100" w:type="dxa"/>
              <w:right w:w="150" w:type="dxa"/>
            </w:tcMar>
          </w:tcPr>
          <w:p w14:paraId="7B3B7073"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____________</w:t>
            </w:r>
          </w:p>
        </w:tc>
      </w:tr>
      <w:tr w:rsidR="000D51DB" w:rsidRPr="00CB1FF3" w14:paraId="2E5B43AE" w14:textId="77777777">
        <w:trPr>
          <w:jc w:val="center"/>
        </w:trPr>
        <w:tc>
          <w:tcPr>
            <w:tcW w:w="2592" w:type="dxa"/>
            <w:shd w:val="clear" w:color="auto" w:fill="FFFFFF"/>
            <w:tcMar>
              <w:top w:w="100" w:type="dxa"/>
              <w:left w:w="150" w:type="dxa"/>
              <w:bottom w:w="100" w:type="dxa"/>
              <w:right w:w="150" w:type="dxa"/>
            </w:tcMar>
          </w:tcPr>
          <w:p w14:paraId="234E04E6"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Chairperson, DGC</w:t>
            </w:r>
          </w:p>
        </w:tc>
        <w:tc>
          <w:tcPr>
            <w:tcW w:w="3168" w:type="dxa"/>
            <w:shd w:val="clear" w:color="auto" w:fill="FFFFFF"/>
            <w:tcMar>
              <w:top w:w="100" w:type="dxa"/>
              <w:left w:w="150" w:type="dxa"/>
              <w:bottom w:w="100" w:type="dxa"/>
              <w:right w:w="150" w:type="dxa"/>
            </w:tcMar>
          </w:tcPr>
          <w:p w14:paraId="031EAD0C"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___________________________________</w:t>
            </w:r>
          </w:p>
        </w:tc>
        <w:tc>
          <w:tcPr>
            <w:tcW w:w="1872" w:type="dxa"/>
            <w:shd w:val="clear" w:color="auto" w:fill="FFFFFF"/>
            <w:tcMar>
              <w:top w:w="100" w:type="dxa"/>
              <w:left w:w="150" w:type="dxa"/>
              <w:bottom w:w="100" w:type="dxa"/>
              <w:right w:w="150" w:type="dxa"/>
            </w:tcMar>
          </w:tcPr>
          <w:p w14:paraId="4AE14F65"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____________</w:t>
            </w:r>
          </w:p>
        </w:tc>
        <w:tc>
          <w:tcPr>
            <w:tcW w:w="1728" w:type="dxa"/>
            <w:shd w:val="clear" w:color="auto" w:fill="FFFFFF"/>
            <w:tcMar>
              <w:top w:w="100" w:type="dxa"/>
              <w:left w:w="150" w:type="dxa"/>
              <w:bottom w:w="100" w:type="dxa"/>
              <w:right w:w="150" w:type="dxa"/>
            </w:tcMar>
          </w:tcPr>
          <w:p w14:paraId="40AFABB6"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____________</w:t>
            </w:r>
          </w:p>
        </w:tc>
      </w:tr>
    </w:tbl>
    <w:p w14:paraId="7E402686" w14:textId="77777777" w:rsidR="000D51DB" w:rsidRPr="00CB1FF3" w:rsidRDefault="00CB1FF3" w:rsidP="00CB1FF3">
      <w:pPr>
        <w:jc w:val="both"/>
        <w:rPr>
          <w:rFonts w:ascii="Times New Roman" w:hAnsi="Times New Roman" w:cs="Times New Roman"/>
        </w:rPr>
      </w:pPr>
      <w:r w:rsidRPr="00CB1FF3">
        <w:rPr>
          <w:rFonts w:ascii="Times New Roman" w:hAnsi="Times New Roman" w:cs="Times New Roman"/>
        </w:rPr>
        <w:br w:type="page"/>
      </w:r>
    </w:p>
    <w:p w14:paraId="7E12EB58" w14:textId="77777777" w:rsidR="000D51DB" w:rsidRPr="00CB1FF3" w:rsidRDefault="00CB1FF3" w:rsidP="00CB1FF3">
      <w:pPr>
        <w:keepNext/>
        <w:spacing w:before="320" w:after="120"/>
        <w:jc w:val="both"/>
        <w:rPr>
          <w:rFonts w:ascii="Times New Roman" w:hAnsi="Times New Roman" w:cs="Times New Roman"/>
        </w:rPr>
      </w:pPr>
      <w:r w:rsidRPr="00CB1FF3">
        <w:rPr>
          <w:rFonts w:ascii="Times New Roman" w:hAnsi="Times New Roman" w:cs="Times New Roman"/>
          <w:b/>
          <w:color w:val="1A365D"/>
          <w:sz w:val="28"/>
        </w:rPr>
        <w:lastRenderedPageBreak/>
        <w:t>FORMAL SUBMISSION COVER LETTER</w:t>
      </w:r>
    </w:p>
    <w:p w14:paraId="36DB9B29" w14:textId="77777777" w:rsidR="000D51DB" w:rsidRPr="00CB1FF3" w:rsidRDefault="00CB1FF3" w:rsidP="000A70FC">
      <w:pPr>
        <w:spacing w:after="100"/>
        <w:rPr>
          <w:rFonts w:ascii="Times New Roman" w:hAnsi="Times New Roman" w:cs="Times New Roman"/>
        </w:rPr>
      </w:pPr>
      <w:r w:rsidRPr="00CB1FF3">
        <w:rPr>
          <w:rFonts w:ascii="Times New Roman" w:hAnsi="Times New Roman" w:cs="Times New Roman"/>
          <w:b/>
          <w:color w:val="2D3748"/>
          <w:sz w:val="21"/>
        </w:rPr>
        <w:t>MEMORANDUM</w:t>
      </w:r>
      <w:r w:rsidRPr="00CB1FF3">
        <w:rPr>
          <w:rFonts w:ascii="Times New Roman" w:hAnsi="Times New Roman" w:cs="Times New Roman"/>
          <w:b/>
          <w:color w:val="2D3748"/>
          <w:sz w:val="21"/>
        </w:rPr>
        <w:br/>
      </w:r>
      <w:r w:rsidRPr="00CB1FF3">
        <w:rPr>
          <w:rFonts w:ascii="Times New Roman" w:hAnsi="Times New Roman" w:cs="Times New Roman"/>
          <w:color w:val="2D3748"/>
          <w:sz w:val="21"/>
        </w:rPr>
        <w:t>To: The Department Graduate Committee (DGC)</w:t>
      </w:r>
      <w:r w:rsidRPr="00CB1FF3">
        <w:rPr>
          <w:rFonts w:ascii="Times New Roman" w:hAnsi="Times New Roman" w:cs="Times New Roman"/>
          <w:color w:val="2D3748"/>
          <w:sz w:val="21"/>
        </w:rPr>
        <w:br/>
        <w:t>Department of Information Science</w:t>
      </w:r>
      <w:r w:rsidRPr="00CB1FF3">
        <w:rPr>
          <w:rFonts w:ascii="Times New Roman" w:hAnsi="Times New Roman" w:cs="Times New Roman"/>
          <w:color w:val="2D3748"/>
          <w:sz w:val="21"/>
        </w:rPr>
        <w:br/>
        <w:t>College of Computing and Informatics</w:t>
      </w:r>
      <w:r w:rsidRPr="00CB1FF3">
        <w:rPr>
          <w:rFonts w:ascii="Times New Roman" w:hAnsi="Times New Roman" w:cs="Times New Roman"/>
          <w:color w:val="2D3748"/>
          <w:sz w:val="21"/>
        </w:rPr>
        <w:br/>
        <w:t>Haramaya University, Haramaya, Ethiopia</w:t>
      </w:r>
      <w:r w:rsidRPr="00CB1FF3">
        <w:rPr>
          <w:rFonts w:ascii="Times New Roman" w:hAnsi="Times New Roman" w:cs="Times New Roman"/>
          <w:color w:val="2D3748"/>
          <w:sz w:val="21"/>
        </w:rPr>
        <w:br/>
      </w:r>
      <w:r w:rsidRPr="00CB1FF3">
        <w:rPr>
          <w:rFonts w:ascii="Times New Roman" w:hAnsi="Times New Roman" w:cs="Times New Roman"/>
          <w:color w:val="2D3748"/>
          <w:sz w:val="21"/>
        </w:rPr>
        <w:br/>
        <w:t>Subject: Submission of MSc Data Science Thesis Concept Note</w:t>
      </w:r>
    </w:p>
    <w:p w14:paraId="21DC480B"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I am pleased to submit for formal academic review and supervisory assignment my proposed MSc Data Science thesis concept note, titled 'AI-Based Multimodal Deep Learning Early Warning System for Drought, Crop Advisory, and Food Insecurity Prediction Using Satellite Imagery, Climate, Vegetation, Socioeconomic, and Agricultural Data in Eastern Ethiopia'.</w:t>
      </w:r>
    </w:p>
    <w:p w14:paraId="1AC480CD"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The proposed research addresses the chronic and existential challenge of recurring hydro-climatic shocks in Eastern Hararghe Zone, Oromia, Ethiopia, where escalating climate variability drives catastrophic crop failure and acute food insecurity. By synthesizing the cutting-edge mathematical climatology, oceanic-atmospheric teleconnection modeling, and enterprise delivery engineering of the AgriMinds / AI-DREWS framework with the multimodal deep learning, Explainable AI (SHAP &amp; Grad-CAM), Neo4j Knowledge Graph, and FEWS NET IPC food-security modeling paradigms developed at Haramaya University, this research establishes an unprecedented, end-to-end operational blueprint.</w:t>
      </w:r>
    </w:p>
    <w:p w14:paraId="7F8DF1CA"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Unlike existing systems that either operate at overly coarse global scales (100–200 km GCMs), suffer from retrospective monitoring bias (reporting damage only after physiological crop wilting occurs), or present abstract probabilistic statistics that cannot be understood by smallholder farmers, this study constructs a tri-task multimodal deep learning engine that simultaneously predicts: (1) physical drought hazard probabilities, (2) crop-specific prescriptive agronomic risk tiers (calibrated for tef, wheat, maize, sorghum, and haricot beans), and (3) localized acute food-security outcomes (FEWS NET / IPC Phases 1–5). Furthermore, it couples deep neural representations with Indigenous Ecological Knowledge (IEK) through a bi-directional consensus engine, ensuring cultural trust and operational adoption.</w:t>
      </w:r>
    </w:p>
    <w:p w14:paraId="0381D0DE"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The proposed research has been structured with extreme methodological and empirical rigor to ensure completion within the standard MSc timeframe while laying a solid foundation for peer-reviewed publication in high-impact international journals and catalytic national policy deployment across the Ministry of Agriculture and Ethiopian Disaster Risk Management Commission (EDRMC).</w:t>
      </w:r>
    </w:p>
    <w:p w14:paraId="26367924" w14:textId="77777777" w:rsidR="000D51DB" w:rsidRPr="00CB1FF3" w:rsidRDefault="00CB1FF3" w:rsidP="000A70FC">
      <w:pPr>
        <w:spacing w:after="100"/>
        <w:rPr>
          <w:rFonts w:ascii="Times New Roman" w:hAnsi="Times New Roman" w:cs="Times New Roman"/>
        </w:rPr>
      </w:pPr>
      <w:r w:rsidRPr="00CB1FF3">
        <w:rPr>
          <w:rFonts w:ascii="Times New Roman" w:hAnsi="Times New Roman" w:cs="Times New Roman"/>
          <w:color w:val="2D3748"/>
          <w:sz w:val="21"/>
        </w:rPr>
        <w:t>I respectfully submit this document for your consideration, guidance, and formal approval.</w:t>
      </w:r>
      <w:r w:rsidRPr="00CB1FF3">
        <w:rPr>
          <w:rFonts w:ascii="Times New Roman" w:hAnsi="Times New Roman" w:cs="Times New Roman"/>
          <w:color w:val="2D3748"/>
          <w:sz w:val="21"/>
        </w:rPr>
        <w:br/>
      </w:r>
      <w:r w:rsidRPr="00CB1FF3">
        <w:rPr>
          <w:rFonts w:ascii="Times New Roman" w:hAnsi="Times New Roman" w:cs="Times New Roman"/>
          <w:color w:val="2D3748"/>
          <w:sz w:val="21"/>
        </w:rPr>
        <w:br/>
        <w:t>Sincerely,</w:t>
      </w:r>
      <w:r w:rsidRPr="00CB1FF3">
        <w:rPr>
          <w:rFonts w:ascii="Times New Roman" w:hAnsi="Times New Roman" w:cs="Times New Roman"/>
          <w:color w:val="2D3748"/>
          <w:sz w:val="21"/>
        </w:rPr>
        <w:br/>
        <w:t>Bona Nasser Abdo</w:t>
      </w:r>
      <w:r w:rsidRPr="00CB1FF3">
        <w:rPr>
          <w:rFonts w:ascii="Times New Roman" w:hAnsi="Times New Roman" w:cs="Times New Roman"/>
          <w:color w:val="2D3748"/>
          <w:sz w:val="21"/>
        </w:rPr>
        <w:br/>
        <w:t>Graduate Student, MSc Data Science Program</w:t>
      </w:r>
      <w:r w:rsidRPr="00CB1FF3">
        <w:rPr>
          <w:rFonts w:ascii="Times New Roman" w:hAnsi="Times New Roman" w:cs="Times New Roman"/>
          <w:color w:val="2D3748"/>
          <w:sz w:val="21"/>
        </w:rPr>
        <w:br/>
        <w:t>Department of Information Science, Haramaya University</w:t>
      </w:r>
      <w:r w:rsidRPr="00CB1FF3">
        <w:rPr>
          <w:rFonts w:ascii="Times New Roman" w:hAnsi="Times New Roman" w:cs="Times New Roman"/>
          <w:color w:val="2D3748"/>
          <w:sz w:val="21"/>
        </w:rPr>
        <w:br/>
        <w:t>Email: bonanasser4@gmail.com</w:t>
      </w:r>
    </w:p>
    <w:p w14:paraId="12D21F2A" w14:textId="77777777" w:rsidR="000D51DB" w:rsidRPr="00CB1FF3" w:rsidRDefault="00CB1FF3" w:rsidP="000A70FC">
      <w:pPr>
        <w:rPr>
          <w:rFonts w:ascii="Times New Roman" w:hAnsi="Times New Roman" w:cs="Times New Roman"/>
        </w:rPr>
      </w:pPr>
      <w:r w:rsidRPr="00CB1FF3">
        <w:rPr>
          <w:rFonts w:ascii="Times New Roman" w:hAnsi="Times New Roman" w:cs="Times New Roman"/>
        </w:rPr>
        <w:br w:type="page"/>
      </w:r>
    </w:p>
    <w:p w14:paraId="220253DE" w14:textId="77777777" w:rsidR="000D51DB" w:rsidRPr="00CB1FF3" w:rsidRDefault="00CB1FF3" w:rsidP="00CB1FF3">
      <w:pPr>
        <w:keepNext/>
        <w:spacing w:before="320" w:after="120"/>
        <w:jc w:val="both"/>
        <w:rPr>
          <w:rFonts w:ascii="Times New Roman" w:hAnsi="Times New Roman" w:cs="Times New Roman"/>
        </w:rPr>
      </w:pPr>
      <w:r w:rsidRPr="00CB1FF3">
        <w:rPr>
          <w:rFonts w:ascii="Times New Roman" w:hAnsi="Times New Roman" w:cs="Times New Roman"/>
          <w:b/>
          <w:color w:val="1A365D"/>
          <w:sz w:val="28"/>
        </w:rPr>
        <w:lastRenderedPageBreak/>
        <w:t>EXECUTIVE ABSTRACT</w:t>
      </w:r>
    </w:p>
    <w:p w14:paraId="4E583BAC"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Smallholder rainfed agriculture in Eastern Ethiopia, particularly across Eastern Hararghe Zone, faces existential and accelerating threats from climate change, recurrent drought extremes, and climate-induced food insecurity. In late 2025 and 2026, severe multi-season rainfall deficits across the Horn of Africa pushed over 20 million people into emergency food assistance needs, highlighting the systemic failure of conventional early-warning systems. Existing operational frameworks suffer from four persistent, structural deficiencies: (1) coarse spatial resolution (GCMs and RCMs operating at 25–200 km, failing to resolve steep microclimatic gradients across rugged topography), (2) retrospective monitoring bias (satellite NDVI/VCI metrics detecting stress only after irreversible physiological crop damage has occurred), (3) a socio-technical usability gap (disseminating abstract probabilities that fail to translate into plot-level sowing dates or crop choices while completely ignoring traditional knowledge), and (4) an analytical decoupling between physical drought hazards and downstream humanitarian food-security outcomes. To overcome these profound barriers, this MSc thesis develops and empirically validates an explainable, multimodal deep learning-based early warning and prescriptive decision-support framework that bridges global climate intelligence to localized, woreda-level farm actions across Eastern Ethiopia.</w:t>
      </w:r>
    </w:p>
    <w:p w14:paraId="29F60F06"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The technical core of the system synthesizes a 5-tier architecture integrating physics-informed climatology, oceanic teleconnections, and multimodal deep learning. Global oceanic forcing is captured via a Conv1D-LSTM network forecasting El Niño–Southern Oscillation (Niño 3.4 SST anomalies) and Indian Ocean Dipole (IOD) trajectories up to 12 months ahead. The localized predictive engine introduces a Super-Hybrid Multimodal Deep Neural Architecture featuring five specialized branches: (a) a spatial 2D-CNN / ResNet-50 branch encoding multi-spectral satellite imagery patches (MODIS NDVI/EVI and 8-day LST), (b) a recurrent LSTM branch capturing antecedent temporal memory across hydro-climatic sequences (CHIRPS precipitation, SMAP soil moisture, ERA5 temperature/evaporation), (c) a Fast Fourier Transform (FFT) harmonic spectral branch capturing seasonal astronomical cycles and bi-annual Belg/Kiremt transitions, (d) a structured MLP/DNN branch encoding agricultural production statistics (CSA/ESS), demographic density (WorldPop), and static edaphic properties (SoilGrids), and (e) a Multimodal Gated Cross-Attention Fusion Engine that dynamically weights spatial, temporal, and tabular features into a unified latent context vector. The fused representation drives a multi-task prediction head simultaneously emitting: (i) Drought Hazard Probability P(SPI-3 &lt;= -1), (ii) Prescriptive Crop-Specific Adjusted Risk P_adj, and (iii) Acute Food Insecurity Classification matching FEWS NET / IPC Phases (Phases 1–5).</w:t>
      </w:r>
    </w:p>
    <w:p w14:paraId="5FAB3557"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 xml:space="preserve">To bridge the usability gap, drought hazard probabilities are coupled with biological crop sensitivity multipliers (s) for major regional staples (sorghum s=0.9, maize s=1.3, haricot bean s=1.1, wheat s=1.0, tef s=0.8) and mapped onto a Four-Tier Prescriptive Advisory Matrix (Low, Moderate, High, Severe Risk), generating concrete farming interventions (variety selection, tie-ridging, rainwater harvesting, planting window shifts, emergency crop pivots). Crucially, the platform incorporates a Bi-Directional Indigenous Ecological Knowledge (IEK) Consensus Engine that cross-validates AI predictions against traditional bio-climatic indicators (prevailing wind shifts, Abdim's Stork 'Shimela' migration, bee swarming, and acacia floral phenology), elevating trust among rural farming communities. Model transparency is guaranteed via Explainable AI (SHAP attributions for tabular/fused features, Grad-CAM spatial heatmaps for satellite patches, and temporal lag attribution). A Neo4j Semantic Knowledge Graph models cascading hazard-to-livelihood relationships and enables multi-hazard contextual querying. Rigorous chronological out-of-sample validation (2015–2021 training, 2022–2023 validation, 2024–2026 testing) is governed by the 'Honest Lead Horizon' principle, enforcing Brier Skill Score (BSS) gating to serve high-resolution probability maps only at validated skill leads (Lead 1) and qualitative outlooks for Leads 2–3. The entire system is packaged as an enterprise cloud-native microservice (FastAPI, PostgreSQL 17 + Star Schema for Metabase BI), a Next.js 16 </w:t>
      </w:r>
      <w:r w:rsidRPr="00CB1FF3">
        <w:rPr>
          <w:rFonts w:ascii="Times New Roman" w:hAnsi="Times New Roman" w:cs="Times New Roman"/>
          <w:color w:val="2D3748"/>
          <w:sz w:val="21"/>
        </w:rPr>
        <w:lastRenderedPageBreak/>
        <w:t>Web Command Centre with role-scoped multi-tenancy (Ministers, Woreda Development Agents, Farmers), and an offline-first Expo React Native mobile field app supporting English, Amharic, and Afaan Oromoo. This research establishes an operational and scientific benchmark for AI-driven climate adaptation, food security governance, and resilient agricultural transformation across Eastern Africa.</w:t>
      </w:r>
    </w:p>
    <w:tbl>
      <w:tblPr>
        <w:tblW w:w="0" w:type="auto"/>
        <w:jc w:val="center"/>
        <w:tblLayout w:type="fixed"/>
        <w:tblLook w:val="04A0" w:firstRow="1" w:lastRow="0" w:firstColumn="1" w:lastColumn="0" w:noHBand="0" w:noVBand="1"/>
      </w:tblPr>
      <w:tblGrid>
        <w:gridCol w:w="9360"/>
      </w:tblGrid>
      <w:tr w:rsidR="000D51DB" w:rsidRPr="00CB1FF3" w14:paraId="5C2C1F69" w14:textId="77777777">
        <w:trPr>
          <w:jc w:val="center"/>
        </w:trPr>
        <w:tc>
          <w:tcPr>
            <w:tcW w:w="9360" w:type="dxa"/>
            <w:tcBorders>
              <w:left w:val="single" w:sz="24" w:space="0" w:color="2B6CB0"/>
            </w:tcBorders>
            <w:shd w:val="clear" w:color="auto" w:fill="EDF2F7"/>
            <w:tcMar>
              <w:top w:w="140" w:type="dxa"/>
              <w:left w:w="200" w:type="dxa"/>
              <w:bottom w:w="140" w:type="dxa"/>
              <w:right w:w="200" w:type="dxa"/>
            </w:tcMar>
          </w:tcPr>
          <w:p w14:paraId="462A347B" w14:textId="77777777" w:rsidR="000D51DB" w:rsidRPr="00CB1FF3" w:rsidRDefault="00CB1FF3" w:rsidP="000A70FC">
            <w:pPr>
              <w:spacing w:after="60"/>
              <w:rPr>
                <w:rFonts w:ascii="Times New Roman" w:hAnsi="Times New Roman" w:cs="Times New Roman"/>
              </w:rPr>
            </w:pPr>
            <w:r w:rsidRPr="00CB1FF3">
              <w:rPr>
                <w:rFonts w:ascii="Times New Roman" w:hAnsi="Times New Roman" w:cs="Times New Roman"/>
                <w:b/>
                <w:color w:val="2B6CB0"/>
                <w:sz w:val="19"/>
              </w:rPr>
              <w:t>[INDEXING METADATA &amp; KEYWORDS]</w:t>
            </w:r>
            <w:r w:rsidRPr="00CB1FF3">
              <w:rPr>
                <w:rFonts w:ascii="Times New Roman" w:hAnsi="Times New Roman" w:cs="Times New Roman"/>
                <w:b/>
                <w:color w:val="2B6CB0"/>
                <w:sz w:val="19"/>
              </w:rPr>
              <w:br/>
            </w:r>
            <w:r w:rsidRPr="00CB1FF3">
              <w:rPr>
                <w:rFonts w:ascii="Times New Roman" w:hAnsi="Times New Roman" w:cs="Times New Roman"/>
                <w:color w:val="2D3748"/>
                <w:sz w:val="20"/>
              </w:rPr>
              <w:t>Keywords: Multimodal Deep Learning; Super-Hybrid CNN-LSTM-Fourier; Drought Early Warning; Prescriptive Crop Advisory; Acute Food Insecurity Prediction; FEWS NET / IPC Phases; Atmospheric Teleconnections; Self-Calibrated Palmer Drought Severity Index (Sc-PDSI); Explainable AI (SHAP &amp; Grad-CAM); Neo4j Knowledge Graph; Indigenous Ecological Knowledge (IEK); Eastern Hararghe, Ethiopia.</w:t>
            </w:r>
          </w:p>
        </w:tc>
      </w:tr>
    </w:tbl>
    <w:p w14:paraId="23BDD8FC" w14:textId="77777777" w:rsidR="000D51DB" w:rsidRPr="00CB1FF3" w:rsidRDefault="000D51DB" w:rsidP="00CB1FF3">
      <w:pPr>
        <w:spacing w:after="120"/>
        <w:jc w:val="both"/>
        <w:rPr>
          <w:rFonts w:ascii="Times New Roman" w:hAnsi="Times New Roman" w:cs="Times New Roman"/>
        </w:rPr>
      </w:pPr>
    </w:p>
    <w:p w14:paraId="453A0D38" w14:textId="77777777" w:rsidR="000D51DB" w:rsidRPr="00CB1FF3" w:rsidRDefault="00CB1FF3" w:rsidP="00CB1FF3">
      <w:pPr>
        <w:jc w:val="both"/>
        <w:rPr>
          <w:rFonts w:ascii="Times New Roman" w:hAnsi="Times New Roman" w:cs="Times New Roman"/>
        </w:rPr>
      </w:pPr>
      <w:r w:rsidRPr="00CB1FF3">
        <w:rPr>
          <w:rFonts w:ascii="Times New Roman" w:hAnsi="Times New Roman" w:cs="Times New Roman"/>
        </w:rPr>
        <w:br w:type="page"/>
      </w:r>
    </w:p>
    <w:p w14:paraId="5F19F6BB" w14:textId="77777777" w:rsidR="000D51DB" w:rsidRPr="00CB1FF3" w:rsidRDefault="00CB1FF3" w:rsidP="00CB1FF3">
      <w:pPr>
        <w:keepNext/>
        <w:spacing w:before="320" w:after="120"/>
        <w:jc w:val="both"/>
        <w:rPr>
          <w:rFonts w:ascii="Times New Roman" w:hAnsi="Times New Roman" w:cs="Times New Roman"/>
        </w:rPr>
      </w:pPr>
      <w:r w:rsidRPr="00CB1FF3">
        <w:rPr>
          <w:rFonts w:ascii="Times New Roman" w:hAnsi="Times New Roman" w:cs="Times New Roman"/>
          <w:b/>
          <w:color w:val="1A365D"/>
          <w:sz w:val="28"/>
        </w:rPr>
        <w:lastRenderedPageBreak/>
        <w:t>CHAPTER ONE: INTRODUCTION AND RESEARCH MOTIVATION</w:t>
      </w:r>
    </w:p>
    <w:p w14:paraId="021B5887" w14:textId="77777777" w:rsidR="000D51DB" w:rsidRPr="00CB1FF3" w:rsidRDefault="00CB1FF3" w:rsidP="00CB1FF3">
      <w:pPr>
        <w:keepNext/>
        <w:spacing w:before="240" w:after="80"/>
        <w:jc w:val="both"/>
        <w:rPr>
          <w:rFonts w:ascii="Times New Roman" w:hAnsi="Times New Roman" w:cs="Times New Roman"/>
        </w:rPr>
      </w:pPr>
      <w:r w:rsidRPr="00CB1FF3">
        <w:rPr>
          <w:rFonts w:ascii="Times New Roman" w:hAnsi="Times New Roman" w:cs="Times New Roman"/>
          <w:b/>
          <w:color w:val="2B6CB0"/>
          <w:sz w:val="24"/>
        </w:rPr>
        <w:t>1.1 Background and Contextual Setting</w:t>
      </w:r>
    </w:p>
    <w:p w14:paraId="6E1FD86E"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Drought represents the single greatest recurring environmental and socioeconomic catastrophe threatening agrarian livelihoods across the Horn of Africa. In Ethiopia, where over 80% of the population relies directly on rainfed subsistence agriculture and pastoralism, hydro-climatic variability exerts an overwhelming control over national gross domestic product, food stability, and rural well-being. Over the past three decades, the frequency, duration, and spatial extent of severe drought shocks have escalated drastically, driven by global climate change and intensifying teleconnections with oceanic-atmospheric oscillations in the equatorial Pacific and Indian Oceans.</w:t>
      </w:r>
    </w:p>
    <w:p w14:paraId="56BEE64E"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Eastern Ethiopia—and specifically Eastern Hararghe Zone in the Oromia Regional State—represents one of the most hydro-meteorologically vulnerable, ecologically fragile, and chronically food-insecure sub-regions in the country. Spanning steep topographic gradients from the highland plateaus of Deder, Girawa, and Kurfa Chele (over 3,000 meters above sea level) down to the arid and semi-arid agro-pastoral lowlands of Babile, Fedis, and Meyu Muluke bordering the Somali Region, Eastern Hararghe exhibits extreme microclimatic heterogeneity. The farming systems are dominated by subsistence cultivation of sorghum (Sorghum bicolor), maize (Zea mays), haricot beans (Phaseolus vulgaris), wheat, and barley, alongside high-value cash-crop khat (Catha edulis) and livestock husbandry. The region depends on a highly erratic bimodal rainfall regime comprising the Belg (short rainy season, March to May) and Kiremt / Deyr (main rainy season, June to September). A failure or severe delay in either season triggers rapid depletion of soil moisture, devastating crop desiccation, widespread livestock mortality, asset depletion, and acute human food crises.</w:t>
      </w:r>
    </w:p>
    <w:p w14:paraId="74960FEE"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The catastrophic reality of this vulnerability was demonstrated during the historic 2015–2016 El Niño-induced drought, which left more than 10.2 million Ethiopians requiring emergency food assistance, and the unprecedented 2020–2023 consecutive five-season drought across the eastern Horn. Most recently, in late 2025 and 2026, severe rainfall anomalies across the eastern highlands and lowlands precipitated another major humanitarian emergency, with FEWS NET and regional authorities projecting that over 20 million people required immediate external relief, with climate-induced agricultural collapse identified as the primary catalyst. These recurring emergencies expose an inescapable truth: reactive humanitarian relief operations, which mobilize months after crop desiccation and livestock mortality have already materialized, are economically unsustainable and fail to preserve human lives and livelihoods. What is urgently demanded is a proactive, localized, and actionable predictive early-warning system capable of forecasting impending hydro-climatic stress and acute food insecurity months before irreversible damage occurs.</w:t>
      </w:r>
    </w:p>
    <w:p w14:paraId="3BEE163F" w14:textId="77777777" w:rsidR="000D51DB" w:rsidRPr="00CB1FF3" w:rsidRDefault="00CB1FF3" w:rsidP="00CB1FF3">
      <w:pPr>
        <w:keepNext/>
        <w:spacing w:before="240" w:after="80"/>
        <w:jc w:val="both"/>
        <w:rPr>
          <w:rFonts w:ascii="Times New Roman" w:hAnsi="Times New Roman" w:cs="Times New Roman"/>
        </w:rPr>
      </w:pPr>
      <w:r w:rsidRPr="00CB1FF3">
        <w:rPr>
          <w:rFonts w:ascii="Times New Roman" w:hAnsi="Times New Roman" w:cs="Times New Roman"/>
          <w:b/>
          <w:color w:val="2B6CB0"/>
          <w:sz w:val="24"/>
        </w:rPr>
        <w:t>1.2 Statement of the Problem</w:t>
      </w:r>
    </w:p>
    <w:p w14:paraId="37D8413C"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Despite decades of substantial domestic and international investments in meteorological observatories, satellite remote sensing, and disaster risk management infrastructure, current operational early warning paradigms in Ethiopia remain fundamentally disconnected from the operational realities of smallholder farmers, local development agents, and humanitarian decision-makers. This operational paralysis stems from four interrelated, structural deficiencies:</w:t>
      </w:r>
    </w:p>
    <w:p w14:paraId="7E4B662C"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1. The Spatial Resolution Disconnect: </w:t>
      </w:r>
      <w:r w:rsidRPr="00CB1FF3">
        <w:rPr>
          <w:rFonts w:ascii="Times New Roman" w:hAnsi="Times New Roman" w:cs="Times New Roman"/>
          <w:color w:val="2D3748"/>
          <w:sz w:val="21"/>
        </w:rPr>
        <w:t xml:space="preserve">Global Climate Models (GCMs) and conventional Regional Climate Models (RCMs) operate at coarse spatial resolutions ranging from 25 km to over 100 km. In highly dissected, topographically complex landscapes such as Eastern Hararghe, localized topoclimates, thermal inversions, rain-shadow phenomena, and elevation-dependent microclimates vary drastically </w:t>
      </w:r>
      <w:r w:rsidRPr="00CB1FF3">
        <w:rPr>
          <w:rFonts w:ascii="Times New Roman" w:hAnsi="Times New Roman" w:cs="Times New Roman"/>
          <w:color w:val="2D3748"/>
          <w:sz w:val="21"/>
        </w:rPr>
        <w:lastRenderedPageBreak/>
        <w:t>across distances of only 1 to 5 km. Regional rainfall aggregates completely obscure local moisture deficits, rendering synoptic weather bulletins practically useless for plot-level agronomic management.</w:t>
      </w:r>
    </w:p>
    <w:p w14:paraId="2D9B9BD9"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2. The Retrospective Monitoring Bias: </w:t>
      </w:r>
      <w:r w:rsidRPr="00CB1FF3">
        <w:rPr>
          <w:rFonts w:ascii="Times New Roman" w:hAnsi="Times New Roman" w:cs="Times New Roman"/>
          <w:color w:val="2D3748"/>
          <w:sz w:val="21"/>
        </w:rPr>
        <w:t>Conventional satellite-derived drought monitoring systems (e.g., standard NDVI anomalies, Vegetation Condition Index [VCI], and post-hoc remote sensing classifications) are fundamentally retrospective. They detect vegetation stress and canopy browning only after significant, irreversible cellular and physiological moisture deficit has already inflicted damage on crops. Smallholder farmers and extension personnel require forward-looking, lead-time intelligence (1 to 3 months prior to planting or during critical phenological stages) to make proactive decisions regarding crop selection, seed variety switching, planting dates, and water conservation investments.</w:t>
      </w:r>
    </w:p>
    <w:p w14:paraId="45B6A308"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3. The Socio-Technical Usability Gap: </w:t>
      </w:r>
      <w:r w:rsidRPr="00CB1FF3">
        <w:rPr>
          <w:rFonts w:ascii="Times New Roman" w:hAnsi="Times New Roman" w:cs="Times New Roman"/>
          <w:color w:val="2D3748"/>
          <w:sz w:val="21"/>
        </w:rPr>
        <w:t>Operational meteorological bulletins typically disseminate technical, abstract probabilistic metrics (e.g., 'a 35% probability of below-normal rainfall tercile') that fail to translate into actionable agronomic instructions. Farmers cannot determine whether such a forecast warrants switching from long-cycle maize to short-cycle sorghum, staggering planting dates, constructing tie-ridges, or rationing irrigation water. Crucially, conventional systems operate as top-down techno-scientific monoliths that systematically disregard centuries of Indigenous Ecological Knowledge (IEK) preserved by local farming communities, generating deep cultural skepticism, lack of trust, and near-zero advisory adoption in rural kebeles.</w:t>
      </w:r>
    </w:p>
    <w:p w14:paraId="0A994386"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4. The Analytical Decoupling of Environmental Hazard and Food Insecurity: </w:t>
      </w:r>
      <w:r w:rsidRPr="00CB1FF3">
        <w:rPr>
          <w:rFonts w:ascii="Times New Roman" w:hAnsi="Times New Roman" w:cs="Times New Roman"/>
          <w:color w:val="2D3748"/>
          <w:sz w:val="21"/>
        </w:rPr>
        <w:t>In existing institutional workflows, drought early warning (managed primarily by meteorological and hydrological agencies) is treated as completely separate from food insecurity early warning (conducted independently by humanitarian agencies such as FEWS NET and the IPC through periodic retrospective surveys). Physical hydro-meteorological models predict rainfall deficits but ignore socioeconomic vulnerability, livelihood zones, and market access; conversely, humanitarian food security assessments rely heavily on delayed surveys that cannot capture rapid environmental shifts. There is no unified, multimodal framework that directly models the cascading causal chain from global atmospheric forcing to local soil-water depletion, crop yield loss, and acute household food insecurity (IPC phases).</w:t>
      </w:r>
    </w:p>
    <w:p w14:paraId="34C02873" w14:textId="77777777" w:rsidR="000D51DB" w:rsidRPr="00CB1FF3" w:rsidRDefault="00CB1FF3" w:rsidP="00CB1FF3">
      <w:pPr>
        <w:keepNext/>
        <w:spacing w:before="240" w:after="80"/>
        <w:jc w:val="both"/>
        <w:rPr>
          <w:rFonts w:ascii="Times New Roman" w:hAnsi="Times New Roman" w:cs="Times New Roman"/>
        </w:rPr>
      </w:pPr>
      <w:r w:rsidRPr="00CB1FF3">
        <w:rPr>
          <w:rFonts w:ascii="Times New Roman" w:hAnsi="Times New Roman" w:cs="Times New Roman"/>
          <w:b/>
          <w:color w:val="2B6CB0"/>
          <w:sz w:val="24"/>
        </w:rPr>
        <w:t>1.3 Research Gaps and Proposed Scientific Innovations</w:t>
      </w:r>
    </w:p>
    <w:p w14:paraId="4ADC832B"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A systematic review of existing operational systems and published scientific literature highlights a critical research vacuum. While recent computational studies have explored machine learning for drought monitoring or regional food security (e.g., Busker et al., 2024; Baye et al., 2026; Abate et al., 2025), they either rely on coarse tabular aggregations across entire nations, examine individual modalities in isolation, fail to incorporate direct spatial image representation learning, or omit the physical climatological and teleconnection dynamics that govern East African climate.</w:t>
      </w:r>
    </w:p>
    <w:p w14:paraId="08A0D5BA"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Table 1.1 presents a comprehensive comparative synthesis distinguishing existing operational systems, published baseline studies, the foundational AgriMinds / AI-DREWS framework, and the transformative multimodal framework proposed in this thesis.</w:t>
      </w:r>
    </w:p>
    <w:tbl>
      <w:tblPr>
        <w:tblW w:w="0" w:type="auto"/>
        <w:jc w:val="center"/>
        <w:tblBorders>
          <w:top w:val="single" w:sz="6" w:space="0" w:color="CBD5E0"/>
          <w:bottom w:val="single" w:sz="6" w:space="0" w:color="CBD5E0"/>
          <w:insideH w:val="single" w:sz="4" w:space="0" w:color="CBD5E0"/>
        </w:tblBorders>
        <w:tblLook w:val="04A0" w:firstRow="1" w:lastRow="0" w:firstColumn="1" w:lastColumn="0" w:noHBand="0" w:noVBand="1"/>
      </w:tblPr>
      <w:tblGrid>
        <w:gridCol w:w="1872"/>
        <w:gridCol w:w="1728"/>
        <w:gridCol w:w="1872"/>
        <w:gridCol w:w="1872"/>
        <w:gridCol w:w="2016"/>
      </w:tblGrid>
      <w:tr w:rsidR="000D51DB" w:rsidRPr="00CB1FF3" w14:paraId="0B9C3F4C" w14:textId="77777777">
        <w:trPr>
          <w:jc w:val="center"/>
        </w:trPr>
        <w:tc>
          <w:tcPr>
            <w:tcW w:w="1872" w:type="dxa"/>
            <w:shd w:val="clear" w:color="auto" w:fill="1A365D"/>
            <w:tcMar>
              <w:top w:w="120" w:type="dxa"/>
              <w:left w:w="150" w:type="dxa"/>
              <w:bottom w:w="120" w:type="dxa"/>
              <w:right w:w="150" w:type="dxa"/>
            </w:tcMar>
          </w:tcPr>
          <w:p w14:paraId="1D33F087"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b/>
                <w:color w:val="FFFFFF"/>
                <w:sz w:val="19"/>
              </w:rPr>
              <w:t>Early Warning Dimension</w:t>
            </w:r>
          </w:p>
        </w:tc>
        <w:tc>
          <w:tcPr>
            <w:tcW w:w="1728" w:type="dxa"/>
            <w:shd w:val="clear" w:color="auto" w:fill="1A365D"/>
            <w:tcMar>
              <w:top w:w="120" w:type="dxa"/>
              <w:left w:w="150" w:type="dxa"/>
              <w:bottom w:w="120" w:type="dxa"/>
              <w:right w:w="150" w:type="dxa"/>
            </w:tcMar>
          </w:tcPr>
          <w:p w14:paraId="6C9F281B"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b/>
                <w:color w:val="FFFFFF"/>
                <w:sz w:val="19"/>
              </w:rPr>
              <w:t>Conventional Systems (NMA / EDRMC)</w:t>
            </w:r>
          </w:p>
        </w:tc>
        <w:tc>
          <w:tcPr>
            <w:tcW w:w="1872" w:type="dxa"/>
            <w:shd w:val="clear" w:color="auto" w:fill="1A365D"/>
            <w:tcMar>
              <w:top w:w="120" w:type="dxa"/>
              <w:left w:w="150" w:type="dxa"/>
              <w:bottom w:w="120" w:type="dxa"/>
              <w:right w:w="150" w:type="dxa"/>
            </w:tcMar>
          </w:tcPr>
          <w:p w14:paraId="30D29570"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b/>
                <w:color w:val="FFFFFF"/>
                <w:sz w:val="19"/>
              </w:rPr>
              <w:t>Regional ML Baselines (Busker; Baye)</w:t>
            </w:r>
          </w:p>
        </w:tc>
        <w:tc>
          <w:tcPr>
            <w:tcW w:w="1872" w:type="dxa"/>
            <w:shd w:val="clear" w:color="auto" w:fill="1A365D"/>
            <w:tcMar>
              <w:top w:w="120" w:type="dxa"/>
              <w:left w:w="150" w:type="dxa"/>
              <w:bottom w:w="120" w:type="dxa"/>
              <w:right w:w="150" w:type="dxa"/>
            </w:tcMar>
          </w:tcPr>
          <w:p w14:paraId="19BBA675"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b/>
                <w:color w:val="FFFFFF"/>
                <w:sz w:val="19"/>
              </w:rPr>
              <w:t>AgriMinds / AI-DREWS Baseline</w:t>
            </w:r>
          </w:p>
        </w:tc>
        <w:tc>
          <w:tcPr>
            <w:tcW w:w="2016" w:type="dxa"/>
            <w:shd w:val="clear" w:color="auto" w:fill="1A365D"/>
            <w:tcMar>
              <w:top w:w="120" w:type="dxa"/>
              <w:left w:w="150" w:type="dxa"/>
              <w:bottom w:w="120" w:type="dxa"/>
              <w:right w:w="150" w:type="dxa"/>
            </w:tcMar>
          </w:tcPr>
          <w:p w14:paraId="4EED95E5"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b/>
                <w:color w:val="FFFFFF"/>
                <w:sz w:val="19"/>
              </w:rPr>
              <w:t>Proposed MSc Thesis Framework</w:t>
            </w:r>
          </w:p>
        </w:tc>
      </w:tr>
      <w:tr w:rsidR="000D51DB" w:rsidRPr="00CB1FF3" w14:paraId="4CCA2E8D" w14:textId="77777777">
        <w:trPr>
          <w:jc w:val="center"/>
        </w:trPr>
        <w:tc>
          <w:tcPr>
            <w:tcW w:w="1872" w:type="dxa"/>
            <w:shd w:val="clear" w:color="auto" w:fill="FFFFFF"/>
            <w:tcMar>
              <w:top w:w="100" w:type="dxa"/>
              <w:left w:w="150" w:type="dxa"/>
              <w:bottom w:w="100" w:type="dxa"/>
              <w:right w:w="150" w:type="dxa"/>
            </w:tcMar>
          </w:tcPr>
          <w:p w14:paraId="0434F691"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Geographic Scope &amp; Unit</w:t>
            </w:r>
          </w:p>
        </w:tc>
        <w:tc>
          <w:tcPr>
            <w:tcW w:w="1728" w:type="dxa"/>
            <w:shd w:val="clear" w:color="auto" w:fill="FFFFFF"/>
            <w:tcMar>
              <w:top w:w="100" w:type="dxa"/>
              <w:left w:w="150" w:type="dxa"/>
              <w:bottom w:w="100" w:type="dxa"/>
              <w:right w:w="150" w:type="dxa"/>
            </w:tcMar>
          </w:tcPr>
          <w:p w14:paraId="7EE3D5BD"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National / Regional (25–100 km grid)</w:t>
            </w:r>
          </w:p>
        </w:tc>
        <w:tc>
          <w:tcPr>
            <w:tcW w:w="1872" w:type="dxa"/>
            <w:shd w:val="clear" w:color="auto" w:fill="FFFFFF"/>
            <w:tcMar>
              <w:top w:w="100" w:type="dxa"/>
              <w:left w:w="150" w:type="dxa"/>
              <w:bottom w:w="100" w:type="dxa"/>
              <w:right w:w="150" w:type="dxa"/>
            </w:tcMar>
          </w:tcPr>
          <w:p w14:paraId="058BB54A"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Horn of Africa / National (Coarse Admin)</w:t>
            </w:r>
          </w:p>
        </w:tc>
        <w:tc>
          <w:tcPr>
            <w:tcW w:w="1872" w:type="dxa"/>
            <w:shd w:val="clear" w:color="auto" w:fill="FFFFFF"/>
            <w:tcMar>
              <w:top w:w="100" w:type="dxa"/>
              <w:left w:w="150" w:type="dxa"/>
              <w:bottom w:w="100" w:type="dxa"/>
              <w:right w:w="150" w:type="dxa"/>
            </w:tcMar>
          </w:tcPr>
          <w:p w14:paraId="5BB694A6"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Choke Mountain Watershed (8×8 Grid)</w:t>
            </w:r>
          </w:p>
        </w:tc>
        <w:tc>
          <w:tcPr>
            <w:tcW w:w="2016" w:type="dxa"/>
            <w:shd w:val="clear" w:color="auto" w:fill="FFFFFF"/>
            <w:tcMar>
              <w:top w:w="100" w:type="dxa"/>
              <w:left w:w="150" w:type="dxa"/>
              <w:bottom w:w="100" w:type="dxa"/>
              <w:right w:w="150" w:type="dxa"/>
            </w:tcMar>
          </w:tcPr>
          <w:p w14:paraId="06718A10"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Eastern Ethiopia / Eastern Hararghe (Woreda &amp; Grid)</w:t>
            </w:r>
          </w:p>
        </w:tc>
      </w:tr>
      <w:tr w:rsidR="000D51DB" w:rsidRPr="00CB1FF3" w14:paraId="056C3817" w14:textId="77777777">
        <w:trPr>
          <w:jc w:val="center"/>
        </w:trPr>
        <w:tc>
          <w:tcPr>
            <w:tcW w:w="1872" w:type="dxa"/>
            <w:shd w:val="clear" w:color="auto" w:fill="F7FAFC"/>
            <w:tcMar>
              <w:top w:w="100" w:type="dxa"/>
              <w:left w:w="150" w:type="dxa"/>
              <w:bottom w:w="100" w:type="dxa"/>
              <w:right w:w="150" w:type="dxa"/>
            </w:tcMar>
          </w:tcPr>
          <w:p w14:paraId="0368AD8B"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lastRenderedPageBreak/>
              <w:t>Target Outcomes</w:t>
            </w:r>
          </w:p>
        </w:tc>
        <w:tc>
          <w:tcPr>
            <w:tcW w:w="1728" w:type="dxa"/>
            <w:shd w:val="clear" w:color="auto" w:fill="F7FAFC"/>
            <w:tcMar>
              <w:top w:w="100" w:type="dxa"/>
              <w:left w:w="150" w:type="dxa"/>
              <w:bottom w:w="100" w:type="dxa"/>
              <w:right w:w="150" w:type="dxa"/>
            </w:tcMar>
          </w:tcPr>
          <w:p w14:paraId="61D66A90"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Rainfall terciles, static NDVI browning</w:t>
            </w:r>
          </w:p>
        </w:tc>
        <w:tc>
          <w:tcPr>
            <w:tcW w:w="1872" w:type="dxa"/>
            <w:shd w:val="clear" w:color="auto" w:fill="F7FAFC"/>
            <w:tcMar>
              <w:top w:w="100" w:type="dxa"/>
              <w:left w:w="150" w:type="dxa"/>
              <w:bottom w:w="100" w:type="dxa"/>
              <w:right w:w="150" w:type="dxa"/>
            </w:tcMar>
          </w:tcPr>
          <w:p w14:paraId="79C2F192"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FEWS NET IPC food crisis (tabular)</w:t>
            </w:r>
          </w:p>
        </w:tc>
        <w:tc>
          <w:tcPr>
            <w:tcW w:w="1872" w:type="dxa"/>
            <w:shd w:val="clear" w:color="auto" w:fill="F7FAFC"/>
            <w:tcMar>
              <w:top w:w="100" w:type="dxa"/>
              <w:left w:w="150" w:type="dxa"/>
              <w:bottom w:w="100" w:type="dxa"/>
              <w:right w:w="150" w:type="dxa"/>
            </w:tcMar>
          </w:tcPr>
          <w:p w14:paraId="46BA7762"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Drought hazard P(SPI-3&lt;=-1) &amp; Crop advisory</w:t>
            </w:r>
          </w:p>
        </w:tc>
        <w:tc>
          <w:tcPr>
            <w:tcW w:w="2016" w:type="dxa"/>
            <w:shd w:val="clear" w:color="auto" w:fill="F7FAFC"/>
            <w:tcMar>
              <w:top w:w="100" w:type="dxa"/>
              <w:left w:w="150" w:type="dxa"/>
              <w:bottom w:w="100" w:type="dxa"/>
              <w:right w:w="150" w:type="dxa"/>
            </w:tcMar>
          </w:tcPr>
          <w:p w14:paraId="7A82C27D"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Tri-Task: Drought P, Crop Advisory Risk, &amp; IPC Food Insecurity</w:t>
            </w:r>
          </w:p>
        </w:tc>
      </w:tr>
      <w:tr w:rsidR="000D51DB" w:rsidRPr="00CB1FF3" w14:paraId="733199AC" w14:textId="77777777">
        <w:trPr>
          <w:jc w:val="center"/>
        </w:trPr>
        <w:tc>
          <w:tcPr>
            <w:tcW w:w="1872" w:type="dxa"/>
            <w:shd w:val="clear" w:color="auto" w:fill="FFFFFF"/>
            <w:tcMar>
              <w:top w:w="100" w:type="dxa"/>
              <w:left w:w="150" w:type="dxa"/>
              <w:bottom w:w="100" w:type="dxa"/>
              <w:right w:w="150" w:type="dxa"/>
            </w:tcMar>
          </w:tcPr>
          <w:p w14:paraId="23B07571"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Input Modalities</w:t>
            </w:r>
          </w:p>
        </w:tc>
        <w:tc>
          <w:tcPr>
            <w:tcW w:w="1728" w:type="dxa"/>
            <w:shd w:val="clear" w:color="auto" w:fill="FFFFFF"/>
            <w:tcMar>
              <w:top w:w="100" w:type="dxa"/>
              <w:left w:w="150" w:type="dxa"/>
              <w:bottom w:w="100" w:type="dxa"/>
              <w:right w:w="150" w:type="dxa"/>
            </w:tcMar>
          </w:tcPr>
          <w:p w14:paraId="43963489"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Single-sensor rain/NDVI</w:t>
            </w:r>
          </w:p>
        </w:tc>
        <w:tc>
          <w:tcPr>
            <w:tcW w:w="1872" w:type="dxa"/>
            <w:shd w:val="clear" w:color="auto" w:fill="FFFFFF"/>
            <w:tcMar>
              <w:top w:w="100" w:type="dxa"/>
              <w:left w:w="150" w:type="dxa"/>
              <w:bottom w:w="100" w:type="dxa"/>
              <w:right w:w="150" w:type="dxa"/>
            </w:tcMar>
          </w:tcPr>
          <w:p w14:paraId="746A465B"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Heterogeneous tabular aggregates</w:t>
            </w:r>
          </w:p>
        </w:tc>
        <w:tc>
          <w:tcPr>
            <w:tcW w:w="1872" w:type="dxa"/>
            <w:shd w:val="clear" w:color="auto" w:fill="FFFFFF"/>
            <w:tcMar>
              <w:top w:w="100" w:type="dxa"/>
              <w:left w:w="150" w:type="dxa"/>
              <w:bottom w:w="100" w:type="dxa"/>
              <w:right w:w="150" w:type="dxa"/>
            </w:tcMar>
          </w:tcPr>
          <w:p w14:paraId="2C1A020D"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ERA5, CHIRPS, Niño indices, MODIS</w:t>
            </w:r>
          </w:p>
        </w:tc>
        <w:tc>
          <w:tcPr>
            <w:tcW w:w="2016" w:type="dxa"/>
            <w:shd w:val="clear" w:color="auto" w:fill="FFFFFF"/>
            <w:tcMar>
              <w:top w:w="100" w:type="dxa"/>
              <w:left w:w="150" w:type="dxa"/>
              <w:bottom w:w="100" w:type="dxa"/>
              <w:right w:w="150" w:type="dxa"/>
            </w:tcMar>
          </w:tcPr>
          <w:p w14:paraId="7CCD8343"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Satellite Patches (CNN) + Climate Series (LSTM) + FFT + Tabular MLP</w:t>
            </w:r>
          </w:p>
        </w:tc>
      </w:tr>
      <w:tr w:rsidR="000D51DB" w:rsidRPr="00CB1FF3" w14:paraId="689B1F90" w14:textId="77777777">
        <w:trPr>
          <w:jc w:val="center"/>
        </w:trPr>
        <w:tc>
          <w:tcPr>
            <w:tcW w:w="1872" w:type="dxa"/>
            <w:shd w:val="clear" w:color="auto" w:fill="F7FAFC"/>
            <w:tcMar>
              <w:top w:w="100" w:type="dxa"/>
              <w:left w:w="150" w:type="dxa"/>
              <w:bottom w:w="100" w:type="dxa"/>
              <w:right w:w="150" w:type="dxa"/>
            </w:tcMar>
          </w:tcPr>
          <w:p w14:paraId="50E150E5"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Climatological Physics</w:t>
            </w:r>
          </w:p>
        </w:tc>
        <w:tc>
          <w:tcPr>
            <w:tcW w:w="1728" w:type="dxa"/>
            <w:shd w:val="clear" w:color="auto" w:fill="F7FAFC"/>
            <w:tcMar>
              <w:top w:w="100" w:type="dxa"/>
              <w:left w:w="150" w:type="dxa"/>
              <w:bottom w:w="100" w:type="dxa"/>
              <w:right w:w="150" w:type="dxa"/>
            </w:tcMar>
          </w:tcPr>
          <w:p w14:paraId="6EE9534E"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Black-box statistical indices</w:t>
            </w:r>
          </w:p>
        </w:tc>
        <w:tc>
          <w:tcPr>
            <w:tcW w:w="1872" w:type="dxa"/>
            <w:shd w:val="clear" w:color="auto" w:fill="F7FAFC"/>
            <w:tcMar>
              <w:top w:w="100" w:type="dxa"/>
              <w:left w:w="150" w:type="dxa"/>
              <w:bottom w:w="100" w:type="dxa"/>
              <w:right w:w="150" w:type="dxa"/>
            </w:tcMar>
          </w:tcPr>
          <w:p w14:paraId="082DC9AE"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None (purely statistical ML)</w:t>
            </w:r>
          </w:p>
        </w:tc>
        <w:tc>
          <w:tcPr>
            <w:tcW w:w="1872" w:type="dxa"/>
            <w:shd w:val="clear" w:color="auto" w:fill="F7FAFC"/>
            <w:tcMar>
              <w:top w:w="100" w:type="dxa"/>
              <w:left w:w="150" w:type="dxa"/>
              <w:bottom w:w="100" w:type="dxa"/>
              <w:right w:w="150" w:type="dxa"/>
            </w:tcMar>
          </w:tcPr>
          <w:p w14:paraId="5F9ED2E1"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Sc-PDSI 2-layer balance, CAFEC, Niño Conv1D</w:t>
            </w:r>
          </w:p>
        </w:tc>
        <w:tc>
          <w:tcPr>
            <w:tcW w:w="2016" w:type="dxa"/>
            <w:shd w:val="clear" w:color="auto" w:fill="F7FAFC"/>
            <w:tcMar>
              <w:top w:w="100" w:type="dxa"/>
              <w:left w:w="150" w:type="dxa"/>
              <w:bottom w:w="100" w:type="dxa"/>
              <w:right w:w="150" w:type="dxa"/>
            </w:tcMar>
          </w:tcPr>
          <w:p w14:paraId="6B0CE431"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Sc-PDSI Climatology + Conv1D-LSTM ENSO + SoilGrids Edaphic Physics</w:t>
            </w:r>
          </w:p>
        </w:tc>
      </w:tr>
      <w:tr w:rsidR="000D51DB" w:rsidRPr="00CB1FF3" w14:paraId="1831CD9D" w14:textId="77777777">
        <w:trPr>
          <w:jc w:val="center"/>
        </w:trPr>
        <w:tc>
          <w:tcPr>
            <w:tcW w:w="1872" w:type="dxa"/>
            <w:shd w:val="clear" w:color="auto" w:fill="FFFFFF"/>
            <w:tcMar>
              <w:top w:w="100" w:type="dxa"/>
              <w:left w:w="150" w:type="dxa"/>
              <w:bottom w:w="100" w:type="dxa"/>
              <w:right w:w="150" w:type="dxa"/>
            </w:tcMar>
          </w:tcPr>
          <w:p w14:paraId="2216C995"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Agronomic Decision Support</w:t>
            </w:r>
          </w:p>
        </w:tc>
        <w:tc>
          <w:tcPr>
            <w:tcW w:w="1728" w:type="dxa"/>
            <w:shd w:val="clear" w:color="auto" w:fill="FFFFFF"/>
            <w:tcMar>
              <w:top w:w="100" w:type="dxa"/>
              <w:left w:w="150" w:type="dxa"/>
              <w:bottom w:w="100" w:type="dxa"/>
              <w:right w:w="150" w:type="dxa"/>
            </w:tcMar>
          </w:tcPr>
          <w:p w14:paraId="5F400CAE"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Generic qualitative bulletins</w:t>
            </w:r>
          </w:p>
        </w:tc>
        <w:tc>
          <w:tcPr>
            <w:tcW w:w="1872" w:type="dxa"/>
            <w:shd w:val="clear" w:color="auto" w:fill="FFFFFF"/>
            <w:tcMar>
              <w:top w:w="100" w:type="dxa"/>
              <w:left w:w="150" w:type="dxa"/>
              <w:bottom w:w="100" w:type="dxa"/>
              <w:right w:w="150" w:type="dxa"/>
            </w:tcMar>
          </w:tcPr>
          <w:p w14:paraId="373347DA"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None (humanitarian phase only)</w:t>
            </w:r>
          </w:p>
        </w:tc>
        <w:tc>
          <w:tcPr>
            <w:tcW w:w="1872" w:type="dxa"/>
            <w:shd w:val="clear" w:color="auto" w:fill="FFFFFF"/>
            <w:tcMar>
              <w:top w:w="100" w:type="dxa"/>
              <w:left w:w="150" w:type="dxa"/>
              <w:bottom w:w="100" w:type="dxa"/>
              <w:right w:w="150" w:type="dxa"/>
            </w:tcMar>
          </w:tcPr>
          <w:p w14:paraId="45584B77"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4-tier advisory matrix (Tef, Wheat, Maize)</w:t>
            </w:r>
          </w:p>
        </w:tc>
        <w:tc>
          <w:tcPr>
            <w:tcW w:w="2016" w:type="dxa"/>
            <w:shd w:val="clear" w:color="auto" w:fill="FFFFFF"/>
            <w:tcMar>
              <w:top w:w="100" w:type="dxa"/>
              <w:left w:w="150" w:type="dxa"/>
              <w:bottom w:w="100" w:type="dxa"/>
              <w:right w:w="150" w:type="dxa"/>
            </w:tcMar>
          </w:tcPr>
          <w:p w14:paraId="6753E2D4"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4-tier prescriptive matrix for Sorghum, Maize, Haricot, Wheat, Tef</w:t>
            </w:r>
          </w:p>
        </w:tc>
      </w:tr>
      <w:tr w:rsidR="000D51DB" w:rsidRPr="00CB1FF3" w14:paraId="2A1AF06B" w14:textId="77777777">
        <w:trPr>
          <w:jc w:val="center"/>
        </w:trPr>
        <w:tc>
          <w:tcPr>
            <w:tcW w:w="1872" w:type="dxa"/>
            <w:shd w:val="clear" w:color="auto" w:fill="F7FAFC"/>
            <w:tcMar>
              <w:top w:w="100" w:type="dxa"/>
              <w:left w:w="150" w:type="dxa"/>
              <w:bottom w:w="100" w:type="dxa"/>
              <w:right w:w="150" w:type="dxa"/>
            </w:tcMar>
          </w:tcPr>
          <w:p w14:paraId="49A9B768"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Traditional Knowledge (IEK)</w:t>
            </w:r>
          </w:p>
        </w:tc>
        <w:tc>
          <w:tcPr>
            <w:tcW w:w="1728" w:type="dxa"/>
            <w:shd w:val="clear" w:color="auto" w:fill="F7FAFC"/>
            <w:tcMar>
              <w:top w:w="100" w:type="dxa"/>
              <w:left w:w="150" w:type="dxa"/>
              <w:bottom w:w="100" w:type="dxa"/>
              <w:right w:w="150" w:type="dxa"/>
            </w:tcMar>
          </w:tcPr>
          <w:p w14:paraId="0EEDF38A"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Completely ignored</w:t>
            </w:r>
          </w:p>
        </w:tc>
        <w:tc>
          <w:tcPr>
            <w:tcW w:w="1872" w:type="dxa"/>
            <w:shd w:val="clear" w:color="auto" w:fill="F7FAFC"/>
            <w:tcMar>
              <w:top w:w="100" w:type="dxa"/>
              <w:left w:w="150" w:type="dxa"/>
              <w:bottom w:w="100" w:type="dxa"/>
              <w:right w:w="150" w:type="dxa"/>
            </w:tcMar>
          </w:tcPr>
          <w:p w14:paraId="59A4B80B"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Completely ignored</w:t>
            </w:r>
          </w:p>
        </w:tc>
        <w:tc>
          <w:tcPr>
            <w:tcW w:w="1872" w:type="dxa"/>
            <w:shd w:val="clear" w:color="auto" w:fill="F7FAFC"/>
            <w:tcMar>
              <w:top w:w="100" w:type="dxa"/>
              <w:left w:w="150" w:type="dxa"/>
              <w:bottom w:w="100" w:type="dxa"/>
              <w:right w:w="150" w:type="dxa"/>
            </w:tcMar>
          </w:tcPr>
          <w:p w14:paraId="1F355FB4"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Bi-directional consensus engine (pilot)</w:t>
            </w:r>
          </w:p>
        </w:tc>
        <w:tc>
          <w:tcPr>
            <w:tcW w:w="2016" w:type="dxa"/>
            <w:shd w:val="clear" w:color="auto" w:fill="F7FAFC"/>
            <w:tcMar>
              <w:top w:w="100" w:type="dxa"/>
              <w:left w:w="150" w:type="dxa"/>
              <w:bottom w:w="100" w:type="dxa"/>
              <w:right w:w="150" w:type="dxa"/>
            </w:tcMar>
          </w:tcPr>
          <w:p w14:paraId="5DA550D5"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Formal bi-directional IEK consensus engine (Hararghe bio-cues)</w:t>
            </w:r>
          </w:p>
        </w:tc>
      </w:tr>
      <w:tr w:rsidR="000D51DB" w:rsidRPr="00CB1FF3" w14:paraId="0233D2C9" w14:textId="77777777">
        <w:trPr>
          <w:jc w:val="center"/>
        </w:trPr>
        <w:tc>
          <w:tcPr>
            <w:tcW w:w="1872" w:type="dxa"/>
            <w:shd w:val="clear" w:color="auto" w:fill="FFFFFF"/>
            <w:tcMar>
              <w:top w:w="100" w:type="dxa"/>
              <w:left w:w="150" w:type="dxa"/>
              <w:bottom w:w="100" w:type="dxa"/>
              <w:right w:w="150" w:type="dxa"/>
            </w:tcMar>
          </w:tcPr>
          <w:p w14:paraId="66860811"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Explainability (XAI)</w:t>
            </w:r>
          </w:p>
        </w:tc>
        <w:tc>
          <w:tcPr>
            <w:tcW w:w="1728" w:type="dxa"/>
            <w:shd w:val="clear" w:color="auto" w:fill="FFFFFF"/>
            <w:tcMar>
              <w:top w:w="100" w:type="dxa"/>
              <w:left w:w="150" w:type="dxa"/>
              <w:bottom w:w="100" w:type="dxa"/>
              <w:right w:w="150" w:type="dxa"/>
            </w:tcMar>
          </w:tcPr>
          <w:p w14:paraId="3EF07427"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Black-box</w:t>
            </w:r>
          </w:p>
        </w:tc>
        <w:tc>
          <w:tcPr>
            <w:tcW w:w="1872" w:type="dxa"/>
            <w:shd w:val="clear" w:color="auto" w:fill="FFFFFF"/>
            <w:tcMar>
              <w:top w:w="100" w:type="dxa"/>
              <w:left w:w="150" w:type="dxa"/>
              <w:bottom w:w="100" w:type="dxa"/>
              <w:right w:w="150" w:type="dxa"/>
            </w:tcMar>
          </w:tcPr>
          <w:p w14:paraId="29A4DF4D"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SHAP on tabular variables only</w:t>
            </w:r>
          </w:p>
        </w:tc>
        <w:tc>
          <w:tcPr>
            <w:tcW w:w="1872" w:type="dxa"/>
            <w:shd w:val="clear" w:color="auto" w:fill="FFFFFF"/>
            <w:tcMar>
              <w:top w:w="100" w:type="dxa"/>
              <w:left w:w="150" w:type="dxa"/>
              <w:bottom w:w="100" w:type="dxa"/>
              <w:right w:w="150" w:type="dxa"/>
            </w:tcMar>
          </w:tcPr>
          <w:p w14:paraId="35174C5D"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Feature importance metrics</w:t>
            </w:r>
          </w:p>
        </w:tc>
        <w:tc>
          <w:tcPr>
            <w:tcW w:w="2016" w:type="dxa"/>
            <w:shd w:val="clear" w:color="auto" w:fill="FFFFFF"/>
            <w:tcMar>
              <w:top w:w="100" w:type="dxa"/>
              <w:left w:w="150" w:type="dxa"/>
              <w:bottom w:w="100" w:type="dxa"/>
              <w:right w:w="150" w:type="dxa"/>
            </w:tcMar>
          </w:tcPr>
          <w:p w14:paraId="59D958E3"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Multi-Level XAI: SHAP (tabular) + Grad-CAM (spatial CNN) + Temporal lags</w:t>
            </w:r>
          </w:p>
        </w:tc>
      </w:tr>
      <w:tr w:rsidR="000D51DB" w:rsidRPr="00CB1FF3" w14:paraId="5CF678F6" w14:textId="77777777">
        <w:trPr>
          <w:jc w:val="center"/>
        </w:trPr>
        <w:tc>
          <w:tcPr>
            <w:tcW w:w="1872" w:type="dxa"/>
            <w:shd w:val="clear" w:color="auto" w:fill="F7FAFC"/>
            <w:tcMar>
              <w:top w:w="100" w:type="dxa"/>
              <w:left w:w="150" w:type="dxa"/>
              <w:bottom w:w="100" w:type="dxa"/>
              <w:right w:w="150" w:type="dxa"/>
            </w:tcMar>
          </w:tcPr>
          <w:p w14:paraId="192A2617"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Knowledge Representation</w:t>
            </w:r>
          </w:p>
        </w:tc>
        <w:tc>
          <w:tcPr>
            <w:tcW w:w="1728" w:type="dxa"/>
            <w:shd w:val="clear" w:color="auto" w:fill="F7FAFC"/>
            <w:tcMar>
              <w:top w:w="100" w:type="dxa"/>
              <w:left w:w="150" w:type="dxa"/>
              <w:bottom w:w="100" w:type="dxa"/>
              <w:right w:w="150" w:type="dxa"/>
            </w:tcMar>
          </w:tcPr>
          <w:p w14:paraId="0103F543"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Relational database tables</w:t>
            </w:r>
          </w:p>
        </w:tc>
        <w:tc>
          <w:tcPr>
            <w:tcW w:w="1872" w:type="dxa"/>
            <w:shd w:val="clear" w:color="auto" w:fill="F7FAFC"/>
            <w:tcMar>
              <w:top w:w="100" w:type="dxa"/>
              <w:left w:w="150" w:type="dxa"/>
              <w:bottom w:w="100" w:type="dxa"/>
              <w:right w:w="150" w:type="dxa"/>
            </w:tcMar>
          </w:tcPr>
          <w:p w14:paraId="0FE4B89A"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None</w:t>
            </w:r>
          </w:p>
        </w:tc>
        <w:tc>
          <w:tcPr>
            <w:tcW w:w="1872" w:type="dxa"/>
            <w:shd w:val="clear" w:color="auto" w:fill="F7FAFC"/>
            <w:tcMar>
              <w:top w:w="100" w:type="dxa"/>
              <w:left w:w="150" w:type="dxa"/>
              <w:bottom w:w="100" w:type="dxa"/>
              <w:right w:w="150" w:type="dxa"/>
            </w:tcMar>
          </w:tcPr>
          <w:p w14:paraId="548A9455"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Star schema for Metabase BI</w:t>
            </w:r>
          </w:p>
        </w:tc>
        <w:tc>
          <w:tcPr>
            <w:tcW w:w="2016" w:type="dxa"/>
            <w:shd w:val="clear" w:color="auto" w:fill="F7FAFC"/>
            <w:tcMar>
              <w:top w:w="100" w:type="dxa"/>
              <w:left w:w="150" w:type="dxa"/>
              <w:bottom w:w="100" w:type="dxa"/>
              <w:right w:w="150" w:type="dxa"/>
            </w:tcMar>
          </w:tcPr>
          <w:p w14:paraId="6369628C"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Neo4j Semantic Knowledge Graph (cascading hazard ontology)</w:t>
            </w:r>
          </w:p>
        </w:tc>
      </w:tr>
      <w:tr w:rsidR="000D51DB" w:rsidRPr="00CB1FF3" w14:paraId="0587BD4C" w14:textId="77777777">
        <w:trPr>
          <w:jc w:val="center"/>
        </w:trPr>
        <w:tc>
          <w:tcPr>
            <w:tcW w:w="1872" w:type="dxa"/>
            <w:shd w:val="clear" w:color="auto" w:fill="FFFFFF"/>
            <w:tcMar>
              <w:top w:w="100" w:type="dxa"/>
              <w:left w:w="150" w:type="dxa"/>
              <w:bottom w:w="100" w:type="dxa"/>
              <w:right w:w="150" w:type="dxa"/>
            </w:tcMar>
          </w:tcPr>
          <w:p w14:paraId="768B68FB"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Validation &amp; Lead Horizon</w:t>
            </w:r>
          </w:p>
        </w:tc>
        <w:tc>
          <w:tcPr>
            <w:tcW w:w="1728" w:type="dxa"/>
            <w:shd w:val="clear" w:color="auto" w:fill="FFFFFF"/>
            <w:tcMar>
              <w:top w:w="100" w:type="dxa"/>
              <w:left w:w="150" w:type="dxa"/>
              <w:bottom w:w="100" w:type="dxa"/>
              <w:right w:w="150" w:type="dxa"/>
            </w:tcMar>
          </w:tcPr>
          <w:p w14:paraId="5D474970"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Heuristic accuracy reporting</w:t>
            </w:r>
          </w:p>
        </w:tc>
        <w:tc>
          <w:tcPr>
            <w:tcW w:w="1872" w:type="dxa"/>
            <w:shd w:val="clear" w:color="auto" w:fill="FFFFFF"/>
            <w:tcMar>
              <w:top w:w="100" w:type="dxa"/>
              <w:left w:w="150" w:type="dxa"/>
              <w:bottom w:w="100" w:type="dxa"/>
              <w:right w:w="150" w:type="dxa"/>
            </w:tcMar>
          </w:tcPr>
          <w:p w14:paraId="12D92907"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Standard temporal cross-validation</w:t>
            </w:r>
          </w:p>
        </w:tc>
        <w:tc>
          <w:tcPr>
            <w:tcW w:w="1872" w:type="dxa"/>
            <w:shd w:val="clear" w:color="auto" w:fill="FFFFFF"/>
            <w:tcMar>
              <w:top w:w="100" w:type="dxa"/>
              <w:left w:w="150" w:type="dxa"/>
              <w:bottom w:w="100" w:type="dxa"/>
              <w:right w:w="150" w:type="dxa"/>
            </w:tcMar>
          </w:tcPr>
          <w:p w14:paraId="3007B521"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Honest Lead Horizon: Brier Skill Score (BSS)</w:t>
            </w:r>
          </w:p>
        </w:tc>
        <w:tc>
          <w:tcPr>
            <w:tcW w:w="2016" w:type="dxa"/>
            <w:shd w:val="clear" w:color="auto" w:fill="FFFFFF"/>
            <w:tcMar>
              <w:top w:w="100" w:type="dxa"/>
              <w:left w:w="150" w:type="dxa"/>
              <w:bottom w:w="100" w:type="dxa"/>
              <w:right w:w="150" w:type="dxa"/>
            </w:tcMar>
          </w:tcPr>
          <w:p w14:paraId="32BC86AF"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Honest Lead Horizon: BSS gating, Out-of-sample (2024–2026), Calibration</w:t>
            </w:r>
          </w:p>
        </w:tc>
      </w:tr>
      <w:tr w:rsidR="000D51DB" w:rsidRPr="00CB1FF3" w14:paraId="05D7C31B" w14:textId="77777777">
        <w:trPr>
          <w:jc w:val="center"/>
        </w:trPr>
        <w:tc>
          <w:tcPr>
            <w:tcW w:w="1872" w:type="dxa"/>
            <w:shd w:val="clear" w:color="auto" w:fill="F7FAFC"/>
            <w:tcMar>
              <w:top w:w="100" w:type="dxa"/>
              <w:left w:w="150" w:type="dxa"/>
              <w:bottom w:w="100" w:type="dxa"/>
              <w:right w:w="150" w:type="dxa"/>
            </w:tcMar>
          </w:tcPr>
          <w:p w14:paraId="4375B84B"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User Delivery Architecture</w:t>
            </w:r>
          </w:p>
        </w:tc>
        <w:tc>
          <w:tcPr>
            <w:tcW w:w="1728" w:type="dxa"/>
            <w:shd w:val="clear" w:color="auto" w:fill="F7FAFC"/>
            <w:tcMar>
              <w:top w:w="100" w:type="dxa"/>
              <w:left w:w="150" w:type="dxa"/>
              <w:bottom w:w="100" w:type="dxa"/>
              <w:right w:w="150" w:type="dxa"/>
            </w:tcMar>
          </w:tcPr>
          <w:p w14:paraId="162BEB1E"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Static PDF bulletins / web portal</w:t>
            </w:r>
          </w:p>
        </w:tc>
        <w:tc>
          <w:tcPr>
            <w:tcW w:w="1872" w:type="dxa"/>
            <w:shd w:val="clear" w:color="auto" w:fill="F7FAFC"/>
            <w:tcMar>
              <w:top w:w="100" w:type="dxa"/>
              <w:left w:w="150" w:type="dxa"/>
              <w:bottom w:w="100" w:type="dxa"/>
              <w:right w:w="150" w:type="dxa"/>
            </w:tcMar>
          </w:tcPr>
          <w:p w14:paraId="2DE79785"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Offline academic scripts</w:t>
            </w:r>
          </w:p>
        </w:tc>
        <w:tc>
          <w:tcPr>
            <w:tcW w:w="1872" w:type="dxa"/>
            <w:shd w:val="clear" w:color="auto" w:fill="F7FAFC"/>
            <w:tcMar>
              <w:top w:w="100" w:type="dxa"/>
              <w:left w:w="150" w:type="dxa"/>
              <w:bottom w:w="100" w:type="dxa"/>
              <w:right w:w="150" w:type="dxa"/>
            </w:tcMar>
          </w:tcPr>
          <w:p w14:paraId="28AC96F2"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FastAPI + Next.js + Offline Mobile</w:t>
            </w:r>
          </w:p>
        </w:tc>
        <w:tc>
          <w:tcPr>
            <w:tcW w:w="2016" w:type="dxa"/>
            <w:shd w:val="clear" w:color="auto" w:fill="F7FAFC"/>
            <w:tcMar>
              <w:top w:w="100" w:type="dxa"/>
              <w:left w:w="150" w:type="dxa"/>
              <w:bottom w:w="100" w:type="dxa"/>
              <w:right w:w="150" w:type="dxa"/>
            </w:tcMar>
          </w:tcPr>
          <w:p w14:paraId="00277C4A"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Full Cloud FastAPI Microservice + Next.js 16 + Trilingual Offline Mobile</w:t>
            </w:r>
          </w:p>
        </w:tc>
      </w:tr>
    </w:tbl>
    <w:p w14:paraId="41649A55" w14:textId="77777777" w:rsidR="000D51DB" w:rsidRPr="00CB1FF3" w:rsidRDefault="00CB1FF3" w:rsidP="00CB1FF3">
      <w:pPr>
        <w:keepNext/>
        <w:spacing w:before="240" w:after="80"/>
        <w:jc w:val="both"/>
        <w:rPr>
          <w:rFonts w:ascii="Times New Roman" w:hAnsi="Times New Roman" w:cs="Times New Roman"/>
        </w:rPr>
      </w:pPr>
      <w:r w:rsidRPr="00CB1FF3">
        <w:rPr>
          <w:rFonts w:ascii="Times New Roman" w:hAnsi="Times New Roman" w:cs="Times New Roman"/>
          <w:b/>
          <w:color w:val="2B6CB0"/>
          <w:sz w:val="24"/>
        </w:rPr>
        <w:t>1.4 Research Questions</w:t>
      </w:r>
    </w:p>
    <w:p w14:paraId="4B818794" w14:textId="77777777" w:rsidR="000D51DB" w:rsidRPr="00CB1FF3" w:rsidRDefault="00CB1FF3" w:rsidP="00CB1FF3">
      <w:pPr>
        <w:keepNext/>
        <w:spacing w:before="160" w:after="60"/>
        <w:jc w:val="both"/>
        <w:rPr>
          <w:rFonts w:ascii="Times New Roman" w:hAnsi="Times New Roman" w:cs="Times New Roman"/>
        </w:rPr>
      </w:pPr>
      <w:r w:rsidRPr="00CB1FF3">
        <w:rPr>
          <w:rFonts w:ascii="Times New Roman" w:hAnsi="Times New Roman" w:cs="Times New Roman"/>
          <w:b/>
          <w:color w:val="2D3748"/>
        </w:rPr>
        <w:t>1.4.1 Primary Research Question</w:t>
      </w:r>
    </w:p>
    <w:p w14:paraId="433B2483"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 xml:space="preserve">How can a super-hybrid multimodal deep learning framework effectively synthesize satellite Earth observation imagery, hydro-climatic teleconnections, vegetation dynamics, soil moisture, agricultural production statistics, </w:t>
      </w:r>
      <w:r w:rsidRPr="00CB1FF3">
        <w:rPr>
          <w:rFonts w:ascii="Times New Roman" w:hAnsi="Times New Roman" w:cs="Times New Roman"/>
          <w:color w:val="2D3748"/>
          <w:sz w:val="21"/>
        </w:rPr>
        <w:lastRenderedPageBreak/>
        <w:t>and socioeconomic vulnerability data to generate localized, lead-time early warnings for drought hazards, prescriptive crop-level advisories, and acute food insecurity across Eastern Hararghe, Ethiopia?</w:t>
      </w:r>
    </w:p>
    <w:p w14:paraId="4EF49712" w14:textId="77777777" w:rsidR="000D51DB" w:rsidRPr="00CB1FF3" w:rsidRDefault="00CB1FF3" w:rsidP="00CB1FF3">
      <w:pPr>
        <w:keepNext/>
        <w:spacing w:before="160" w:after="60"/>
        <w:jc w:val="both"/>
        <w:rPr>
          <w:rFonts w:ascii="Times New Roman" w:hAnsi="Times New Roman" w:cs="Times New Roman"/>
        </w:rPr>
      </w:pPr>
      <w:r w:rsidRPr="00CB1FF3">
        <w:rPr>
          <w:rFonts w:ascii="Times New Roman" w:hAnsi="Times New Roman" w:cs="Times New Roman"/>
          <w:b/>
          <w:color w:val="2D3748"/>
        </w:rPr>
        <w:t>1.4.2 Specific Research Questions</w:t>
      </w:r>
    </w:p>
    <w:p w14:paraId="18547372"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RQ1: </w:t>
      </w:r>
      <w:r w:rsidRPr="00CB1FF3">
        <w:rPr>
          <w:rFonts w:ascii="Times New Roman" w:hAnsi="Times New Roman" w:cs="Times New Roman"/>
          <w:color w:val="2D3748"/>
          <w:sz w:val="21"/>
        </w:rPr>
        <w:t>Which physical hydro-climatic indicators (CHIRPS precipitation, SMAP soil moisture, MODIS LST/NDVI, ERA5 variables) and oceanic indices (Niño 3.4, IOD) exhibit the strongest teleconnection and predictive signal for agricultural drought in Eastern Hararghe?</w:t>
      </w:r>
    </w:p>
    <w:p w14:paraId="7ADD9116"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RQ2: </w:t>
      </w:r>
      <w:r w:rsidRPr="00CB1FF3">
        <w:rPr>
          <w:rFonts w:ascii="Times New Roman" w:hAnsi="Times New Roman" w:cs="Times New Roman"/>
          <w:color w:val="2D3748"/>
          <w:sz w:val="21"/>
        </w:rPr>
        <w:t>How can multi-source, multi-resolution spatial rasters, temporal time series, and tabular socioeconomic data be harmonized into an immutable, cryptographically verifiable woreda-level data cube without temporal data leakage?</w:t>
      </w:r>
    </w:p>
    <w:p w14:paraId="2113ED6F"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RQ3: </w:t>
      </w:r>
      <w:r w:rsidRPr="00CB1FF3">
        <w:rPr>
          <w:rFonts w:ascii="Times New Roman" w:hAnsi="Times New Roman" w:cs="Times New Roman"/>
          <w:color w:val="2D3748"/>
          <w:sz w:val="21"/>
        </w:rPr>
        <w:t>How effectively can specialized deep learning architectures (2D-CNN / ResNet for satellite patches, LSTM for temporal sequences, FFT for periodic harmonics, and MLP for tabular structures) extract modality-specific representations relative to standard unimodal baselines?</w:t>
      </w:r>
    </w:p>
    <w:p w14:paraId="1488794B"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RQ4: </w:t>
      </w:r>
      <w:r w:rsidRPr="00CB1FF3">
        <w:rPr>
          <w:rFonts w:ascii="Times New Roman" w:hAnsi="Times New Roman" w:cs="Times New Roman"/>
          <w:color w:val="2D3748"/>
          <w:sz w:val="21"/>
        </w:rPr>
        <w:t>Does a multimodal gated cross-attention fusion architecture achieve statistically significant performance gains over concatenation, early fusion, and traditional tree-based models (XGBoost, Random Forest) in predicting drought and acute food insecurity?</w:t>
      </w:r>
    </w:p>
    <w:p w14:paraId="52A1EE0A"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RQ5: </w:t>
      </w:r>
      <w:r w:rsidRPr="00CB1FF3">
        <w:rPr>
          <w:rFonts w:ascii="Times New Roman" w:hAnsi="Times New Roman" w:cs="Times New Roman"/>
          <w:color w:val="2D3748"/>
          <w:sz w:val="21"/>
        </w:rPr>
        <w:t>How does model predictive skill evolve across forward forecast horizons (1, 2, and 3 months ahead), and at what forecast lead does the model cease to outperform local climatology under the Brier Skill Score (BSS)?</w:t>
      </w:r>
    </w:p>
    <w:p w14:paraId="2935CD87"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RQ6: </w:t>
      </w:r>
      <w:r w:rsidRPr="00CB1FF3">
        <w:rPr>
          <w:rFonts w:ascii="Times New Roman" w:hAnsi="Times New Roman" w:cs="Times New Roman"/>
          <w:color w:val="2D3748"/>
          <w:sz w:val="21"/>
        </w:rPr>
        <w:t>How can drought hazard probabilities be quantitatively modulated by crop-specific biological sensitivity coefficients (s) to generate actionable 4-tier prescriptive advisories for sorghum, maize, haricot bean, wheat, and tef?</w:t>
      </w:r>
    </w:p>
    <w:p w14:paraId="101A69FF"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RQ7: </w:t>
      </w:r>
      <w:r w:rsidRPr="00CB1FF3">
        <w:rPr>
          <w:rFonts w:ascii="Times New Roman" w:hAnsi="Times New Roman" w:cs="Times New Roman"/>
          <w:color w:val="2D3748"/>
          <w:sz w:val="21"/>
        </w:rPr>
        <w:t>How can a bi-directional consensus engine effectively reconcile deep learning risk predictions with Indigenous Ecological Knowledge (IEK) indicators (wind shifts, bird migrations, floral phenology) to establish community trust?</w:t>
      </w:r>
    </w:p>
    <w:p w14:paraId="606106B8"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RQ8: </w:t>
      </w:r>
      <w:r w:rsidRPr="00CB1FF3">
        <w:rPr>
          <w:rFonts w:ascii="Times New Roman" w:hAnsi="Times New Roman" w:cs="Times New Roman"/>
          <w:color w:val="2D3748"/>
          <w:sz w:val="21"/>
        </w:rPr>
        <w:t>How can Explainable AI methods (SHAP, Grad-CAM, temporal attribution) and Neo4j semantic knowledge graphs be leveraged to make complex multimodal predictions interpretable for agricultural extension agents and policy makers?</w:t>
      </w:r>
    </w:p>
    <w:p w14:paraId="054BABB2" w14:textId="77777777" w:rsidR="000D51DB" w:rsidRPr="00CB1FF3" w:rsidRDefault="00CB1FF3" w:rsidP="00CB1FF3">
      <w:pPr>
        <w:keepNext/>
        <w:spacing w:before="240" w:after="80"/>
        <w:jc w:val="both"/>
        <w:rPr>
          <w:rFonts w:ascii="Times New Roman" w:hAnsi="Times New Roman" w:cs="Times New Roman"/>
        </w:rPr>
      </w:pPr>
      <w:r w:rsidRPr="00CB1FF3">
        <w:rPr>
          <w:rFonts w:ascii="Times New Roman" w:hAnsi="Times New Roman" w:cs="Times New Roman"/>
          <w:b/>
          <w:color w:val="2B6CB0"/>
          <w:sz w:val="24"/>
        </w:rPr>
        <w:t>1.5 Research Objectives</w:t>
      </w:r>
    </w:p>
    <w:p w14:paraId="43067FE4" w14:textId="77777777" w:rsidR="000D51DB" w:rsidRPr="00CB1FF3" w:rsidRDefault="00CB1FF3" w:rsidP="00CB1FF3">
      <w:pPr>
        <w:keepNext/>
        <w:spacing w:before="160" w:after="60"/>
        <w:jc w:val="both"/>
        <w:rPr>
          <w:rFonts w:ascii="Times New Roman" w:hAnsi="Times New Roman" w:cs="Times New Roman"/>
        </w:rPr>
      </w:pPr>
      <w:r w:rsidRPr="00CB1FF3">
        <w:rPr>
          <w:rFonts w:ascii="Times New Roman" w:hAnsi="Times New Roman" w:cs="Times New Roman"/>
          <w:b/>
          <w:color w:val="2D3748"/>
        </w:rPr>
        <w:t>1.5.1 General Objective</w:t>
      </w:r>
    </w:p>
    <w:p w14:paraId="6B651874"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To develop, empirically benchmark, and deploy an explainable, multimodal deep learning-based early warning system that integrates satellite Earth observations, hydro-climatic teleconnections, vegetation indices, soil moisture, agricultural statistics, and socioeconomic vulnerability to deliver localized drought predictions, prescriptive crop advisories, and acute food-insecurity forecasts in Eastern Hararghe, Ethiopia.</w:t>
      </w:r>
    </w:p>
    <w:p w14:paraId="2068170C" w14:textId="77777777" w:rsidR="000D51DB" w:rsidRPr="00CB1FF3" w:rsidRDefault="00CB1FF3" w:rsidP="00CB1FF3">
      <w:pPr>
        <w:keepNext/>
        <w:spacing w:before="160" w:after="60"/>
        <w:jc w:val="both"/>
        <w:rPr>
          <w:rFonts w:ascii="Times New Roman" w:hAnsi="Times New Roman" w:cs="Times New Roman"/>
        </w:rPr>
      </w:pPr>
      <w:r w:rsidRPr="00CB1FF3">
        <w:rPr>
          <w:rFonts w:ascii="Times New Roman" w:hAnsi="Times New Roman" w:cs="Times New Roman"/>
          <w:b/>
          <w:color w:val="2D3748"/>
        </w:rPr>
        <w:t>1.5.2 Specific Objectives</w:t>
      </w:r>
    </w:p>
    <w:p w14:paraId="5448F968"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color w:val="2D3748"/>
          <w:sz w:val="21"/>
        </w:rPr>
        <w:t>To acquire, quality-control, and spatially-temporally harmonize multi-source datasets (NASA MODIS, CHIRPS v3, GPM IMERG, NASA SMAP, ECMWF ERA5, NOAA ERSSTv6, SoilGrids, WorldPop, CSA/ESS, and FEWS NET IPC) into a standardized woreda-month analytical cube with SHA-256 cryptographic provenance tracking.</w:t>
      </w:r>
    </w:p>
    <w:p w14:paraId="0E94E0A7"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color w:val="2D3748"/>
          <w:sz w:val="21"/>
        </w:rPr>
        <w:t>To mathematically formulate and compute physical drought indices, including the two-layer Self-Calibrated Palmer Drought Severity Index (Sc-PDSI), Standardized Precipitation Index (SPI-1, 3, 6), and Vegetation Condition Index (VCI) for Eastern Hararghe.</w:t>
      </w:r>
    </w:p>
    <w:p w14:paraId="007B204B"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color w:val="2D3748"/>
          <w:sz w:val="21"/>
        </w:rPr>
        <w:lastRenderedPageBreak/>
        <w:t>To design and train a Conv1D-LSTM neural network to forecast equatorial Pacific Niño 3.4 sea surface temperature anomalies across 1 to 12 month leads to capture global teleconnection forcing.</w:t>
      </w:r>
    </w:p>
    <w:p w14:paraId="0E928483"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color w:val="2D3748"/>
          <w:sz w:val="21"/>
        </w:rPr>
        <w:t>To construct specialized deep neural encoders for spatial satellite patches (2D-CNN / ResNet), sequential environmental dynamics (LSTM), harmonic seasonal periodicity (Fast Fourier Transform), and tabular agricultural-socioeconomic structures (MLP).</w:t>
      </w:r>
    </w:p>
    <w:p w14:paraId="25F24FF6"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color w:val="2D3748"/>
          <w:sz w:val="21"/>
        </w:rPr>
        <w:t>To develop and evaluate a Multimodal Gated Cross-Attention Fusion Engine that integrates the learned latent representations into a unified context vector driving multi-task prediction heads for drought probability, crop risk, and IPC food security phases.</w:t>
      </w:r>
    </w:p>
    <w:p w14:paraId="5BF26273"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color w:val="2D3748"/>
          <w:sz w:val="21"/>
        </w:rPr>
        <w:t>To implement and validate the 'Honest Lead Horizon' principle using the Brier Skill Score (BSS), strictly segregating quantitative probability mapping at Lead 1 from qualitative seasonal outlooks at Leads 2–3.</w:t>
      </w:r>
    </w:p>
    <w:p w14:paraId="7CB7C24F"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color w:val="2D3748"/>
          <w:sz w:val="21"/>
        </w:rPr>
        <w:t>To formulate a Four-Tier Prescriptive Advisory Matrix coupling hazard probabilities with biological crop sensitivity coefficients (s) for sorghum, maize, haricot bean, wheat, and tef.</w:t>
      </w:r>
    </w:p>
    <w:p w14:paraId="30A641D8"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color w:val="2D3748"/>
          <w:sz w:val="21"/>
        </w:rPr>
        <w:t>To build a Bi-Directional Indigenous Ecological Knowledge (IEK) Consensus Engine that validates AI forecasts against traditional bio-climatic indicators.</w:t>
      </w:r>
    </w:p>
    <w:p w14:paraId="7538B9BB"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color w:val="2D3748"/>
          <w:sz w:val="21"/>
        </w:rPr>
        <w:t>To integrate Explainable AI (SHAP for tabular/fusion features, Grad-CAM for satellite image saliency, temporal lag attributions) and construct a Neo4j Semantic Knowledge Graph representing cascading multi-hazard vulnerabilities.</w:t>
      </w:r>
    </w:p>
    <w:p w14:paraId="1C3A38F7"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color w:val="2D3748"/>
          <w:sz w:val="21"/>
        </w:rPr>
        <w:t>To engineer and deploy an enterprise, cloud-native prototype ecosystem comprising a FastAPI microservice backend, PostgreSQL 17 Star Schema, Next.js 16 Web Command Centre, and an offline-first Expo React Native mobile field application in English, Amharic, and Afaan Oromoo.</w:t>
      </w:r>
    </w:p>
    <w:p w14:paraId="00A8234B" w14:textId="77777777" w:rsidR="000D51DB" w:rsidRPr="00CB1FF3" w:rsidRDefault="00CB1FF3" w:rsidP="00CB1FF3">
      <w:pPr>
        <w:keepNext/>
        <w:spacing w:before="240" w:after="80"/>
        <w:jc w:val="both"/>
        <w:rPr>
          <w:rFonts w:ascii="Times New Roman" w:hAnsi="Times New Roman" w:cs="Times New Roman"/>
        </w:rPr>
      </w:pPr>
      <w:r w:rsidRPr="00CB1FF3">
        <w:rPr>
          <w:rFonts w:ascii="Times New Roman" w:hAnsi="Times New Roman" w:cs="Times New Roman"/>
          <w:b/>
          <w:color w:val="2B6CB0"/>
          <w:sz w:val="24"/>
        </w:rPr>
        <w:t>1.6 Research Hypotheses</w:t>
      </w:r>
    </w:p>
    <w:p w14:paraId="4D5E9344"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Hypothesis 1 (H1 - Multimodal Superiority): </w:t>
      </w:r>
      <w:r w:rsidRPr="00CB1FF3">
        <w:rPr>
          <w:rFonts w:ascii="Times New Roman" w:hAnsi="Times New Roman" w:cs="Times New Roman"/>
          <w:color w:val="2D3748"/>
          <w:sz w:val="21"/>
        </w:rPr>
        <w:t>A super-hybrid multimodal deep learning architecture integrating spatial satellite patches, temporal hydro-climatic sequences, harmonic cycles, and structured socioeconomic variables will achieve statistically superior predictive performance (higher ROC-AUC, PR-AUC, and Macro F1-score; lower RMSE) compared to single-modality models and conventional machine learning baselines (Random Forest, XGBoost).</w:t>
      </w:r>
    </w:p>
    <w:p w14:paraId="40447930"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Hypothesis 2 (H2 - Teleconnection Lead Extension): </w:t>
      </w:r>
      <w:r w:rsidRPr="00CB1FF3">
        <w:rPr>
          <w:rFonts w:ascii="Times New Roman" w:hAnsi="Times New Roman" w:cs="Times New Roman"/>
          <w:color w:val="2D3748"/>
          <w:sz w:val="21"/>
        </w:rPr>
        <w:t>Coupling equatorial Pacific ENSO teleconnection forecasting (Conv1D-LSTM) with localized antecedent hydro-climatic memory significantly extends the skill horizon of drought early warning up to a 3-month lead time compared to local persistence or climatology baselines.</w:t>
      </w:r>
    </w:p>
    <w:p w14:paraId="1DE9F171"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Hypothesis 3 (H3 - Agronomic Calibration): </w:t>
      </w:r>
      <w:r w:rsidRPr="00CB1FF3">
        <w:rPr>
          <w:rFonts w:ascii="Times New Roman" w:hAnsi="Times New Roman" w:cs="Times New Roman"/>
          <w:color w:val="2D3748"/>
          <w:sz w:val="21"/>
        </w:rPr>
        <w:t>The integration of physical two-layer soil water balance accounting (Sc-PDSI) and biological crop sensitivity multipliers (s) significantly improves the agronomic fidelity and calibration of drought risk classification relative to purely meteorological rainfall anomaly metrics.</w:t>
      </w:r>
    </w:p>
    <w:p w14:paraId="32E04F13"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Hypothesis 4 (H4 - XAI Domain Coherence): </w:t>
      </w:r>
      <w:r w:rsidRPr="00CB1FF3">
        <w:rPr>
          <w:rFonts w:ascii="Times New Roman" w:hAnsi="Times New Roman" w:cs="Times New Roman"/>
          <w:color w:val="2D3748"/>
          <w:sz w:val="21"/>
        </w:rPr>
        <w:t>Explainable AI attributions (SHAP feature values and Grad-CAM spatial heatmaps) will align with established agro-ecological domain principles, identifying root-zone moisture deficit, thermal stress, and vegetation anomaly as the primary drivers of impending acute food insecurity.</w:t>
      </w:r>
    </w:p>
    <w:p w14:paraId="62464944"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Hypothesis 5 (H5 - IEK Operational Adoption): </w:t>
      </w:r>
      <w:r w:rsidRPr="00CB1FF3">
        <w:rPr>
          <w:rFonts w:ascii="Times New Roman" w:hAnsi="Times New Roman" w:cs="Times New Roman"/>
          <w:color w:val="2D3748"/>
          <w:sz w:val="21"/>
        </w:rPr>
        <w:t>Cross-validating deep learning predictions with Indigenous Ecological Knowledge (IEK) through a bi-directional consensus engine increases community trust and intended advisory adoption rates among agricultural extension agents and smallholder farmers compared to un-contextualized probabilistic warnings.</w:t>
      </w:r>
    </w:p>
    <w:p w14:paraId="3D75ACD7" w14:textId="77777777" w:rsidR="000D51DB" w:rsidRPr="00CB1FF3" w:rsidRDefault="00CB1FF3" w:rsidP="00CB1FF3">
      <w:pPr>
        <w:keepNext/>
        <w:spacing w:before="240" w:after="80"/>
        <w:jc w:val="both"/>
        <w:rPr>
          <w:rFonts w:ascii="Times New Roman" w:hAnsi="Times New Roman" w:cs="Times New Roman"/>
        </w:rPr>
      </w:pPr>
      <w:r w:rsidRPr="00CB1FF3">
        <w:rPr>
          <w:rFonts w:ascii="Times New Roman" w:hAnsi="Times New Roman" w:cs="Times New Roman"/>
          <w:b/>
          <w:color w:val="2B6CB0"/>
          <w:sz w:val="24"/>
        </w:rPr>
        <w:lastRenderedPageBreak/>
        <w:t>1.7 Significance of the Study</w:t>
      </w:r>
    </w:p>
    <w:p w14:paraId="66748699"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The significance of this research spans multiple academic, practical, humanitarian, and policy dimensions:</w:t>
      </w:r>
    </w:p>
    <w:p w14:paraId="1F5C9B43"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Scientific &amp; Methodological Innovation: </w:t>
      </w:r>
      <w:r w:rsidRPr="00CB1FF3">
        <w:rPr>
          <w:rFonts w:ascii="Times New Roman" w:hAnsi="Times New Roman" w:cs="Times New Roman"/>
          <w:color w:val="2D3748"/>
          <w:sz w:val="21"/>
        </w:rPr>
        <w:t>Advances the frontier of multimodal representation learning in Earth observation and hydro-climatology by formulating a novel super-hybrid architecture that unifies 2D convolutional, recurrent sequential, harmonic spectral, and tabular deep learning paradigms.</w:t>
      </w:r>
    </w:p>
    <w:p w14:paraId="3EBD2099"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Agronomic Resilience for Smallholders: </w:t>
      </w:r>
      <w:r w:rsidRPr="00CB1FF3">
        <w:rPr>
          <w:rFonts w:ascii="Times New Roman" w:hAnsi="Times New Roman" w:cs="Times New Roman"/>
          <w:color w:val="2D3748"/>
          <w:sz w:val="21"/>
        </w:rPr>
        <w:t>Transforms passive, abstract meteorological probability figures into plot-level, crop-tailored, prescriptive agronomic interventions that empower resource-poor farmers to take proactive, risk-mitigating actions months before harvest.</w:t>
      </w:r>
    </w:p>
    <w:p w14:paraId="78985D74"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Anticipatory Humanitarian Action: </w:t>
      </w:r>
      <w:r w:rsidRPr="00CB1FF3">
        <w:rPr>
          <w:rFonts w:ascii="Times New Roman" w:hAnsi="Times New Roman" w:cs="Times New Roman"/>
          <w:color w:val="2D3748"/>
          <w:sz w:val="21"/>
        </w:rPr>
        <w:t>Provides humanitarian relief agencies (FEWS NET, WFP, EDRMC) with localized, woreda-level predictive forecasts of acute food insecurity (IPC phases), transitioning disaster management from slow, expensive reactive relief to cost-effective anticipatory humanitarian action.</w:t>
      </w:r>
    </w:p>
    <w:p w14:paraId="08461D1C"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Indigenous Cultural Synthesis: </w:t>
      </w:r>
      <w:r w:rsidRPr="00CB1FF3">
        <w:rPr>
          <w:rFonts w:ascii="Times New Roman" w:hAnsi="Times New Roman" w:cs="Times New Roman"/>
          <w:color w:val="2D3748"/>
          <w:sz w:val="21"/>
        </w:rPr>
        <w:t>Pioneers the formal, computational integration of centuries-old Indigenous Ecological Knowledge with modern deep learning, demonstrating a culturally respectful, socio-technically sound pathway for AI adoption in the Global South.</w:t>
      </w:r>
    </w:p>
    <w:p w14:paraId="04D7794B"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National Policy Alignment: </w:t>
      </w:r>
      <w:r w:rsidRPr="00CB1FF3">
        <w:rPr>
          <w:rFonts w:ascii="Times New Roman" w:hAnsi="Times New Roman" w:cs="Times New Roman"/>
          <w:color w:val="2D3748"/>
          <w:sz w:val="21"/>
        </w:rPr>
        <w:t>Directly aligns with Ethiopia's Climate Resilient Green Economy (CRGE) strategy, the Green Legacy Initiative, and the Ministry of Agriculture's national digital extension transformation program (serving over 60,000 Development Agents nationwide).</w:t>
      </w:r>
    </w:p>
    <w:p w14:paraId="5954D59C" w14:textId="77777777" w:rsidR="000D51DB" w:rsidRPr="00CB1FF3" w:rsidRDefault="00CB1FF3" w:rsidP="00CB1FF3">
      <w:pPr>
        <w:keepNext/>
        <w:spacing w:before="240" w:after="80"/>
        <w:jc w:val="both"/>
        <w:rPr>
          <w:rFonts w:ascii="Times New Roman" w:hAnsi="Times New Roman" w:cs="Times New Roman"/>
        </w:rPr>
      </w:pPr>
      <w:r w:rsidRPr="00CB1FF3">
        <w:rPr>
          <w:rFonts w:ascii="Times New Roman" w:hAnsi="Times New Roman" w:cs="Times New Roman"/>
          <w:b/>
          <w:color w:val="2B6CB0"/>
          <w:sz w:val="24"/>
        </w:rPr>
        <w:t>1.8 Scope and Delimitations of the Study</w:t>
      </w:r>
    </w:p>
    <w:p w14:paraId="2693B7B0"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The geographic scope of this study is strictly delineated to Eastern Hararghe Zone in the Oromia Regional State of Ethiopia, encompassing all constituent woredas (including Babile, Fedis, Gursum, Jarso, Kersa, Deder, Meta, Haramaya, Kombolcha, Girawa, Bedeno, Kurfa Chele, Chinaksen, Midhaga Tola, and Meyu Muluke). The primary spatial unit of analysis is the administrative woreda (Admin 3) and an 8×8 regular geospatial grid covering the zone's complex topography.</w:t>
      </w:r>
    </w:p>
    <w:p w14:paraId="0BFA91A3"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The temporal scope comprises a core integrated multimodal modeling period of 2015–2026, which maximizes the overlapping availability of high-resolution satellite imagery (MODIS, SMAP, GPM IMERG) and gridded reanalysis (ERA5, CHIRPS v3). Climatological baseline calculations (Sc-PDSI, SPI, and anomaly normals) utilize a 30-year historical window spanning 1990–2026. Supervised acute food insecurity modeling is restricted to 2020–2026, matching the historical availability of verified, spatially explicit FEWS NET / IPC classification shapefiles, thereby preventing the fabrication or unsupported interpolation of humanitarian outcome labels.</w:t>
      </w:r>
    </w:p>
    <w:p w14:paraId="26B1E49F"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Delimitation: This research explicitly develops an analytical and decision-support prototype. It does not intend to replace official statutory declarations of drought or famine issued by the Ministry of Agriculture, the Ethiopian Disaster Risk Management Commission (EDRMC), or the formal multi-agency IPC Technical Working Group. Furthermore, while the model identifies predictive associations and feature attributions via XAI, it strictly avoids unwarranted causal claims.</w:t>
      </w:r>
    </w:p>
    <w:p w14:paraId="119C6967" w14:textId="77777777" w:rsidR="000D51DB" w:rsidRPr="00CB1FF3" w:rsidRDefault="00CB1FF3" w:rsidP="00CB1FF3">
      <w:pPr>
        <w:keepNext/>
        <w:spacing w:before="240" w:after="80"/>
        <w:jc w:val="both"/>
        <w:rPr>
          <w:rFonts w:ascii="Times New Roman" w:hAnsi="Times New Roman" w:cs="Times New Roman"/>
        </w:rPr>
      </w:pPr>
      <w:r w:rsidRPr="00CB1FF3">
        <w:rPr>
          <w:rFonts w:ascii="Times New Roman" w:hAnsi="Times New Roman" w:cs="Times New Roman"/>
          <w:b/>
          <w:color w:val="2B6CB0"/>
          <w:sz w:val="24"/>
        </w:rPr>
        <w:t>1.9 Operational Definitions of Key Terms</w:t>
      </w:r>
    </w:p>
    <w:p w14:paraId="38844C64"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Multimodal Deep Learning: </w:t>
      </w:r>
      <w:r w:rsidRPr="00CB1FF3">
        <w:rPr>
          <w:rFonts w:ascii="Times New Roman" w:hAnsi="Times New Roman" w:cs="Times New Roman"/>
          <w:color w:val="2D3748"/>
          <w:sz w:val="21"/>
        </w:rPr>
        <w:t>An artificial intelligence architecture that ingests and processes heterogeneous data modalities (spatial rasters, temporal sequences, harmonic spectra, and structured tabular records) via specialized neural encoders and unifies them through a fused latent representation.</w:t>
      </w:r>
    </w:p>
    <w:p w14:paraId="4673661B"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lastRenderedPageBreak/>
        <w:t xml:space="preserve">Super-Hybrid Architecture: </w:t>
      </w:r>
      <w:r w:rsidRPr="00CB1FF3">
        <w:rPr>
          <w:rFonts w:ascii="Times New Roman" w:hAnsi="Times New Roman" w:cs="Times New Roman"/>
          <w:color w:val="2D3748"/>
          <w:sz w:val="21"/>
        </w:rPr>
        <w:t>A tri-branch or multi-branch neural network combining 2D-CNNs for spatial feature extraction, LSTMs for recurrent temporal memory, and Fast Fourier Transforms (FFT) for periodic/astronomical cycle modeling.</w:t>
      </w:r>
    </w:p>
    <w:p w14:paraId="5420E21D"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Self-Calibrated Palmer Drought Severity Index (Sc-PDSI): </w:t>
      </w:r>
      <w:r w:rsidRPr="00CB1FF3">
        <w:rPr>
          <w:rFonts w:ascii="Times New Roman" w:hAnsi="Times New Roman" w:cs="Times New Roman"/>
          <w:color w:val="2D3748"/>
          <w:sz w:val="21"/>
        </w:rPr>
        <w:t>A physically based hydro-meteorological drought index that models soil water balance across a two-layer soil profile (surface layer: 25.4 mm; sub-surface layer: configurable AWC) and dynamically calibrates climatic characteristics to local station conditions.</w:t>
      </w:r>
    </w:p>
    <w:p w14:paraId="0C8F573E"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Standardized Precipitation Index (SPI): </w:t>
      </w:r>
      <w:r w:rsidRPr="00CB1FF3">
        <w:rPr>
          <w:rFonts w:ascii="Times New Roman" w:hAnsi="Times New Roman" w:cs="Times New Roman"/>
          <w:color w:val="2D3748"/>
          <w:sz w:val="21"/>
        </w:rPr>
        <w:t>A multi-scalar meteorological drought index expressing the number of standard deviations that observed cumulative precipitation deviates from the long-term climatological probability distribution over a specified time scale (e.g., SPI-1, SPI-3, SPI-6).</w:t>
      </w:r>
    </w:p>
    <w:p w14:paraId="72129DCB"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Vegetation Condition Index (VCI): </w:t>
      </w:r>
      <w:r w:rsidRPr="00CB1FF3">
        <w:rPr>
          <w:rFonts w:ascii="Times New Roman" w:hAnsi="Times New Roman" w:cs="Times New Roman"/>
          <w:color w:val="2D3748"/>
          <w:sz w:val="21"/>
        </w:rPr>
        <w:t>A satellite-derived remote sensing metric that normalizes the Normalized Difference Vegetation Index (NDVI) between its historical minimum and maximum for a given calendar period, reflecting vegetation vigor relative to historical extremes.</w:t>
      </w:r>
    </w:p>
    <w:p w14:paraId="4F3C5E65"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Atmospheric Teleconnection: </w:t>
      </w:r>
      <w:r w:rsidRPr="00CB1FF3">
        <w:rPr>
          <w:rFonts w:ascii="Times New Roman" w:hAnsi="Times New Roman" w:cs="Times New Roman"/>
          <w:color w:val="2D3748"/>
          <w:sz w:val="21"/>
        </w:rPr>
        <w:t>A recurring, persistent large-scale pattern of atmospheric pressure and circulation anomalies spanning vast geographical distances, specifically linking equatorial Pacific sea surface temperatures (ENSO) and Indian Ocean Dipole (IOD) to rainfall anomalies in Eastern Ethiopia.</w:t>
      </w:r>
    </w:p>
    <w:p w14:paraId="59FE2706"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Integrated Food Security Phase Classification (IPC): </w:t>
      </w:r>
      <w:r w:rsidRPr="00CB1FF3">
        <w:rPr>
          <w:rFonts w:ascii="Times New Roman" w:hAnsi="Times New Roman" w:cs="Times New Roman"/>
          <w:color w:val="2D3748"/>
          <w:sz w:val="21"/>
        </w:rPr>
        <w:t>A standardized, five-phase analytical scale used globally by humanitarian agencies to classify the severity of acute food insecurity: Phase 1 (Minimal), Phase 2 (Stressed), Phase 3 (Crisis), Phase 4 (Emergency), and Phase 5 (Catastrophe/Famine).</w:t>
      </w:r>
    </w:p>
    <w:p w14:paraId="062C0553"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Crop Sensitivity Coefficient (s): </w:t>
      </w:r>
      <w:r w:rsidRPr="00CB1FF3">
        <w:rPr>
          <w:rFonts w:ascii="Times New Roman" w:hAnsi="Times New Roman" w:cs="Times New Roman"/>
          <w:color w:val="2D3748"/>
          <w:sz w:val="21"/>
        </w:rPr>
        <w:t>A species-specific biological multiplier that scales physical drought hazard probability based on the phenological vulnerability and moisture stress tolerance of specific crops (e.g., tef s=0.8, wheat s=1.0, maize s=1.3).</w:t>
      </w:r>
    </w:p>
    <w:p w14:paraId="61D4E318"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Honest Lead Horizon Principle: </w:t>
      </w:r>
      <w:r w:rsidRPr="00CB1FF3">
        <w:rPr>
          <w:rFonts w:ascii="Times New Roman" w:hAnsi="Times New Roman" w:cs="Times New Roman"/>
          <w:color w:val="2D3748"/>
          <w:sz w:val="21"/>
        </w:rPr>
        <w:t>An operational forecasting doctrine enforcing that quantitative spatial risk maps are served only at lead times achieving statistically significant positive skill relative to climatology (Brier Skill Score BSS &gt; 0), while distant leads are served solely as qualitative directional outlooks.</w:t>
      </w:r>
    </w:p>
    <w:p w14:paraId="3F18F46C"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Brier Skill Score (BSS): </w:t>
      </w:r>
      <w:r w:rsidRPr="00CB1FF3">
        <w:rPr>
          <w:rFonts w:ascii="Times New Roman" w:hAnsi="Times New Roman" w:cs="Times New Roman"/>
          <w:color w:val="2D3748"/>
          <w:sz w:val="21"/>
        </w:rPr>
        <w:t>A verification metric quantifying the relative accuracy of probabilistic forecasts compared to a reference baseline (long-term climatology), where positive scores denote genuine predictive skill superiority.</w:t>
      </w:r>
    </w:p>
    <w:p w14:paraId="3B65B1DF"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Indigenous Ecological Knowledge (IEK): </w:t>
      </w:r>
      <w:r w:rsidRPr="00CB1FF3">
        <w:rPr>
          <w:rFonts w:ascii="Times New Roman" w:hAnsi="Times New Roman" w:cs="Times New Roman"/>
          <w:color w:val="2D3748"/>
          <w:sz w:val="21"/>
        </w:rPr>
        <w:t>A cumulative body of empirical observations, practices, and beliefs developed over generations by local communities regarding seasonal transitions, wind shifts, celestial movements, bird migrations, and plant phenology.</w:t>
      </w:r>
    </w:p>
    <w:p w14:paraId="47657B4C"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Bi-Directional Consensus Engine: </w:t>
      </w:r>
      <w:r w:rsidRPr="00CB1FF3">
        <w:rPr>
          <w:rFonts w:ascii="Times New Roman" w:hAnsi="Times New Roman" w:cs="Times New Roman"/>
          <w:color w:val="2D3748"/>
          <w:sz w:val="21"/>
        </w:rPr>
        <w:t>An algorithmic framework that cross-validates quantitative deep learning predictions against qualitative community-submitted traditional bio-climatic indicators to classify consensus state and calibrate operational confidence.</w:t>
      </w:r>
    </w:p>
    <w:p w14:paraId="1B37F0CC"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Explainable AI (XAI): </w:t>
      </w:r>
      <w:r w:rsidRPr="00CB1FF3">
        <w:rPr>
          <w:rFonts w:ascii="Times New Roman" w:hAnsi="Times New Roman" w:cs="Times New Roman"/>
          <w:color w:val="2D3748"/>
          <w:sz w:val="21"/>
        </w:rPr>
        <w:t>A suite of machine learning algorithms (such as SHAP and Grad-CAM) designed to provide human-interpretable explanations of the mathematical reasoning, feature contributions, and spatial regions governing a neural network's predictions.</w:t>
      </w:r>
    </w:p>
    <w:p w14:paraId="4C1D81F3"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Knowledge Graph: </w:t>
      </w:r>
      <w:r w:rsidRPr="00CB1FF3">
        <w:rPr>
          <w:rFonts w:ascii="Times New Roman" w:hAnsi="Times New Roman" w:cs="Times New Roman"/>
          <w:color w:val="2D3748"/>
          <w:sz w:val="21"/>
        </w:rPr>
        <w:t>A semantic graph database (implemented in Neo4j) that represents real-world entities (woredas, crops, hazards, climate records, relief programs) and their interconnected relationships as nodes and directed edges for contextual reasoning.</w:t>
      </w:r>
    </w:p>
    <w:p w14:paraId="230F17D4"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Woreda-Month: </w:t>
      </w:r>
      <w:r w:rsidRPr="00CB1FF3">
        <w:rPr>
          <w:rFonts w:ascii="Times New Roman" w:hAnsi="Times New Roman" w:cs="Times New Roman"/>
          <w:color w:val="2D3748"/>
          <w:sz w:val="21"/>
        </w:rPr>
        <w:t>The fundamental spatiotemporal unit of analysis in this thesis, defining an administrative woreda observed across an individual monthly calendar window.</w:t>
      </w:r>
    </w:p>
    <w:p w14:paraId="1511DD9C" w14:textId="77777777" w:rsidR="000D51DB" w:rsidRPr="00CB1FF3" w:rsidRDefault="00CB1FF3" w:rsidP="00CB1FF3">
      <w:pPr>
        <w:keepNext/>
        <w:spacing w:before="240" w:after="80"/>
        <w:jc w:val="both"/>
        <w:rPr>
          <w:rFonts w:ascii="Times New Roman" w:hAnsi="Times New Roman" w:cs="Times New Roman"/>
        </w:rPr>
      </w:pPr>
      <w:r w:rsidRPr="00CB1FF3">
        <w:rPr>
          <w:rFonts w:ascii="Times New Roman" w:hAnsi="Times New Roman" w:cs="Times New Roman"/>
          <w:b/>
          <w:color w:val="2B6CB0"/>
          <w:sz w:val="24"/>
        </w:rPr>
        <w:lastRenderedPageBreak/>
        <w:t>1.10 Organization of the Concept Note / Thesis Proposal</w:t>
      </w:r>
    </w:p>
    <w:p w14:paraId="696F68FC"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This concept note is organized into five comprehensive chapters. Chapter One presents the introduction, problem statement, research gaps, questions, objectives, hypotheses, significance, and scope. Chapter Two provides the theoretical foundations and conceptual framework, reviewing physical climatology, teleconnections, multimodal deep learning, XAI, knowledge graphs, and IEK. Chapter Three establishes the detailed research methodology, technical architecture, data ingestion registry, model formulations, validation protocols, and software deployment pipeline. Chapter Four outlines the research work plan, timeline, resource requirements, and risk mitigation strategies. Chapter Five compiles the comprehensive academic references, followed by five technical appendices containing the master data schema, mathematical proofs, experimental comparison matrices, Cypher graph schemas, and software architecture specifications.</w:t>
      </w:r>
    </w:p>
    <w:p w14:paraId="721B780A" w14:textId="77777777" w:rsidR="000D51DB" w:rsidRPr="00CB1FF3" w:rsidRDefault="00CB1FF3" w:rsidP="00CB1FF3">
      <w:pPr>
        <w:jc w:val="both"/>
        <w:rPr>
          <w:rFonts w:ascii="Times New Roman" w:hAnsi="Times New Roman" w:cs="Times New Roman"/>
        </w:rPr>
      </w:pPr>
      <w:r w:rsidRPr="00CB1FF3">
        <w:rPr>
          <w:rFonts w:ascii="Times New Roman" w:hAnsi="Times New Roman" w:cs="Times New Roman"/>
        </w:rPr>
        <w:br w:type="page"/>
      </w:r>
    </w:p>
    <w:p w14:paraId="22D91870" w14:textId="77777777" w:rsidR="000D51DB" w:rsidRPr="00CB1FF3" w:rsidRDefault="00CB1FF3" w:rsidP="00CB1FF3">
      <w:pPr>
        <w:keepNext/>
        <w:spacing w:before="320" w:after="120"/>
        <w:jc w:val="both"/>
        <w:rPr>
          <w:rFonts w:ascii="Times New Roman" w:hAnsi="Times New Roman" w:cs="Times New Roman"/>
        </w:rPr>
      </w:pPr>
      <w:r w:rsidRPr="00CB1FF3">
        <w:rPr>
          <w:rFonts w:ascii="Times New Roman" w:hAnsi="Times New Roman" w:cs="Times New Roman"/>
          <w:b/>
          <w:color w:val="1A365D"/>
          <w:sz w:val="28"/>
        </w:rPr>
        <w:lastRenderedPageBreak/>
        <w:t>CHAPTER TWO: THEORETICAL FOUNDATIONS AND CONCEPTUAL FRAMEWORK</w:t>
      </w:r>
    </w:p>
    <w:p w14:paraId="7D8B3D73" w14:textId="77777777" w:rsidR="000D51DB" w:rsidRPr="00CB1FF3" w:rsidRDefault="00CB1FF3" w:rsidP="00CB1FF3">
      <w:pPr>
        <w:keepNext/>
        <w:spacing w:before="240" w:after="80"/>
        <w:jc w:val="both"/>
        <w:rPr>
          <w:rFonts w:ascii="Times New Roman" w:hAnsi="Times New Roman" w:cs="Times New Roman"/>
        </w:rPr>
      </w:pPr>
      <w:r w:rsidRPr="00CB1FF3">
        <w:rPr>
          <w:rFonts w:ascii="Times New Roman" w:hAnsi="Times New Roman" w:cs="Times New Roman"/>
          <w:b/>
          <w:color w:val="2B6CB0"/>
          <w:sz w:val="24"/>
        </w:rPr>
        <w:t>2.1 The Hydro-Climatic to Food Insecurity Causal Continuum</w:t>
      </w:r>
    </w:p>
    <w:p w14:paraId="61C170E4"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The genesis of drought-induced acute food insecurity is neither an instantaneous nor a purely meteorological event. It represents a complex, non-linear cascading process propagating through distinct physical, ecological, agronomical, and socioeconomic subsystems. Developing an effective multimodal early warning system requires grounding artificial intelligence within this physical causal continuum:</w:t>
      </w:r>
    </w:p>
    <w:p w14:paraId="5514CE71"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1. Macro-Scale Oceanic-Atmospheric Forcing: </w:t>
      </w:r>
      <w:r w:rsidRPr="00CB1FF3">
        <w:rPr>
          <w:rFonts w:ascii="Times New Roman" w:hAnsi="Times New Roman" w:cs="Times New Roman"/>
          <w:color w:val="2D3748"/>
          <w:sz w:val="21"/>
        </w:rPr>
        <w:t>Large-scale sea surface temperature (SST) anomalies in the equatorial Pacific Ocean (El Niño–Southern Oscillation [ENSO]) and equatorial Indian Ocean (Indian Ocean Dipole [IOD]) alter the global atmospheric Walker and Hadley circulations. Anomalous eastward displacement of deep tropical convection in the Pacific triggers large-scale atmospheric subsidence and high-pressure anomalies over the Ethiopian Highlands, suppressing local convective precipitation.</w:t>
      </w:r>
    </w:p>
    <w:p w14:paraId="1A40A94F"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2. Meteorological Moisture Deficit: </w:t>
      </w:r>
      <w:r w:rsidRPr="00CB1FF3">
        <w:rPr>
          <w:rFonts w:ascii="Times New Roman" w:hAnsi="Times New Roman" w:cs="Times New Roman"/>
          <w:color w:val="2D3748"/>
          <w:sz w:val="21"/>
        </w:rPr>
        <w:t>Suppressed atmospheric moisture advection results in severe delays or failures of the bimodal rainfall regimes (Belg and Kiremt / Deyr) in Eastern Ethiopia, generating high vapor pressure deficits and extreme potential evapotranspiration (PET).</w:t>
      </w:r>
    </w:p>
    <w:p w14:paraId="3DABF086"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3. Hydrological &amp; Soil Moisture Depletion: </w:t>
      </w:r>
      <w:r w:rsidRPr="00CB1FF3">
        <w:rPr>
          <w:rFonts w:ascii="Times New Roman" w:hAnsi="Times New Roman" w:cs="Times New Roman"/>
          <w:color w:val="2D3748"/>
          <w:sz w:val="21"/>
        </w:rPr>
        <w:t>Persistent rainfall deficits trigger progressive drawdown of the soil moisture profile. Depletion initially impacts the immediate surface layer (0–10 cm) before exhausting available water capacity (AWC) in the deeper root-zone (10–100 cm), terminating capillary recharge.</w:t>
      </w:r>
    </w:p>
    <w:p w14:paraId="083720B2"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4. Agricultural Crop Desiccation: </w:t>
      </w:r>
      <w:r w:rsidRPr="00CB1FF3">
        <w:rPr>
          <w:rFonts w:ascii="Times New Roman" w:hAnsi="Times New Roman" w:cs="Times New Roman"/>
          <w:color w:val="2D3748"/>
          <w:sz w:val="21"/>
        </w:rPr>
        <w:t>Soil moisture exhaustion forces plants into permanent wilting point conditions. Transpiration ceases, chlorophyll degradation accelerates, and satellite sensors register sharp declines in Normalized Difference Vegetation Index (NDVI) and Vegetation Condition Index (VCI), accompanied by elevated Land Surface Temperatures (LST).</w:t>
      </w:r>
    </w:p>
    <w:p w14:paraId="45EE023D"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5. Agronomic Production Failure: </w:t>
      </w:r>
      <w:r w:rsidRPr="00CB1FF3">
        <w:rPr>
          <w:rFonts w:ascii="Times New Roman" w:hAnsi="Times New Roman" w:cs="Times New Roman"/>
          <w:color w:val="2D3748"/>
          <w:sz w:val="21"/>
        </w:rPr>
        <w:t>Moisture stress during critical crop phenological stages (crown root initiation in cereals, tasseling/silking in maize, flowering and podding in haricot beans) causes catastrophic yield collapse or total crop abortion. Concurrently, grazing pasture degenerates, leading to livestock emaciation and mortality.</w:t>
      </w:r>
    </w:p>
    <w:p w14:paraId="56D8B321"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6. Socioeconomic &amp; Market Disruption: </w:t>
      </w:r>
      <w:r w:rsidRPr="00CB1FF3">
        <w:rPr>
          <w:rFonts w:ascii="Times New Roman" w:hAnsi="Times New Roman" w:cs="Times New Roman"/>
          <w:color w:val="2D3748"/>
          <w:sz w:val="21"/>
        </w:rPr>
        <w:t>Production failure triggers severe supply shortages in local rural markets, causing staple food price hyper-inflation. Smallholder households experience catastrophic collapses in agricultural income, deterioration of terms-of-trade (livestock-to-grain price ratios), and rapid depletion of household coping assets.</w:t>
      </w:r>
    </w:p>
    <w:p w14:paraId="525CD214"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7. Acute Human Food Insecurity: </w:t>
      </w:r>
      <w:r w:rsidRPr="00CB1FF3">
        <w:rPr>
          <w:rFonts w:ascii="Times New Roman" w:hAnsi="Times New Roman" w:cs="Times New Roman"/>
          <w:color w:val="2D3748"/>
          <w:sz w:val="21"/>
        </w:rPr>
        <w:t>Households exhaust adaptive strategies, resulting in severe food consumption deficits, acute malnutrition (wasting), distress migration, and escalation into severe humanitarian phases (IPC Phase 3 Crisis, Phase 4 Emergency, or Phase 5 Catastrophe/Famine).</w:t>
      </w:r>
    </w:p>
    <w:p w14:paraId="4DF421FB" w14:textId="77777777" w:rsidR="000D51DB" w:rsidRPr="00CB1FF3" w:rsidRDefault="00CB1FF3" w:rsidP="00CB1FF3">
      <w:pPr>
        <w:keepNext/>
        <w:spacing w:before="240" w:after="80"/>
        <w:jc w:val="both"/>
        <w:rPr>
          <w:rFonts w:ascii="Times New Roman" w:hAnsi="Times New Roman" w:cs="Times New Roman"/>
        </w:rPr>
      </w:pPr>
      <w:r w:rsidRPr="00CB1FF3">
        <w:rPr>
          <w:rFonts w:ascii="Times New Roman" w:hAnsi="Times New Roman" w:cs="Times New Roman"/>
          <w:b/>
          <w:color w:val="2B6CB0"/>
          <w:sz w:val="24"/>
        </w:rPr>
        <w:t>2.2 Physical Climatology and Mathematical Formulations of Drought</w:t>
      </w:r>
    </w:p>
    <w:p w14:paraId="29C8766C"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Rather than treating drought as a purely statistical machine-learning abstraction, this research couples empirical deep learning with rigorous physical hydrology. We formulate and implement three foundational hydro-climatic modeling frameworks:</w:t>
      </w:r>
    </w:p>
    <w:p w14:paraId="0A73D7B7" w14:textId="77777777" w:rsidR="000D51DB" w:rsidRPr="00CB1FF3" w:rsidRDefault="00CB1FF3" w:rsidP="00CB1FF3">
      <w:pPr>
        <w:keepNext/>
        <w:spacing w:before="160" w:after="60"/>
        <w:jc w:val="both"/>
        <w:rPr>
          <w:rFonts w:ascii="Times New Roman" w:hAnsi="Times New Roman" w:cs="Times New Roman"/>
        </w:rPr>
      </w:pPr>
      <w:r w:rsidRPr="00CB1FF3">
        <w:rPr>
          <w:rFonts w:ascii="Times New Roman" w:hAnsi="Times New Roman" w:cs="Times New Roman"/>
          <w:b/>
          <w:color w:val="2D3748"/>
        </w:rPr>
        <w:t>2.2.1 Self-Calibrated Palmer Drought Severity Index (Sc-PDSI)</w:t>
      </w:r>
    </w:p>
    <w:p w14:paraId="19275017"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The Palmer Drought Severity Index (PDSI) models soil-water accounting across a two-layer soil profile. In this study, the surface layer has an available water capacity (Ss) of 25.4 mm (1.0 inch). The underlying sub-</w:t>
      </w:r>
      <w:r w:rsidRPr="00CB1FF3">
        <w:rPr>
          <w:rFonts w:ascii="Times New Roman" w:hAnsi="Times New Roman" w:cs="Times New Roman"/>
          <w:color w:val="2D3748"/>
          <w:sz w:val="21"/>
        </w:rPr>
        <w:lastRenderedPageBreak/>
        <w:t>surface layer holds the remainder of total available water capacity (Su = AWC - Ss), defaulting to 100 mm based on regional SoilGrids edaphic surveys. The monthly water balance is governed by:</w:t>
      </w:r>
    </w:p>
    <w:tbl>
      <w:tblPr>
        <w:tblW w:w="0" w:type="auto"/>
        <w:tblLayout w:type="fixed"/>
        <w:tblLook w:val="04A0" w:firstRow="1" w:lastRow="0" w:firstColumn="1" w:lastColumn="0" w:noHBand="0" w:noVBand="1"/>
      </w:tblPr>
      <w:tblGrid>
        <w:gridCol w:w="9360"/>
      </w:tblGrid>
      <w:tr w:rsidR="000D51DB" w:rsidRPr="00CB1FF3" w14:paraId="4B845D67" w14:textId="77777777" w:rsidTr="000A70FC">
        <w:tc>
          <w:tcPr>
            <w:tcW w:w="9360" w:type="dxa"/>
            <w:tcBorders>
              <w:left w:val="single" w:sz="24" w:space="0" w:color="2B6CB0"/>
            </w:tcBorders>
            <w:shd w:val="clear" w:color="auto" w:fill="EDF2F7"/>
            <w:tcMar>
              <w:top w:w="140" w:type="dxa"/>
              <w:left w:w="200" w:type="dxa"/>
              <w:bottom w:w="140" w:type="dxa"/>
              <w:right w:w="200" w:type="dxa"/>
            </w:tcMar>
          </w:tcPr>
          <w:p w14:paraId="14383635" w14:textId="77777777" w:rsidR="000D51DB" w:rsidRPr="00CB1FF3" w:rsidRDefault="00CB1FF3" w:rsidP="00CB1FF3">
            <w:pPr>
              <w:spacing w:after="60"/>
              <w:jc w:val="both"/>
              <w:rPr>
                <w:rFonts w:ascii="Times New Roman" w:hAnsi="Times New Roman" w:cs="Times New Roman"/>
              </w:rPr>
            </w:pPr>
            <w:r w:rsidRPr="00CB1FF3">
              <w:rPr>
                <w:rFonts w:ascii="Times New Roman" w:hAnsi="Times New Roman" w:cs="Times New Roman"/>
                <w:b/>
                <w:color w:val="2B6CB0"/>
                <w:sz w:val="19"/>
              </w:rPr>
              <w:t>[MATHEMATICAL FORMULATION: SC-PDSI WATER BALANCE &amp; CAFEC PRECIPITATION]</w:t>
            </w:r>
            <w:r w:rsidRPr="00CB1FF3">
              <w:rPr>
                <w:rFonts w:ascii="Times New Roman" w:hAnsi="Times New Roman" w:cs="Times New Roman"/>
                <w:b/>
                <w:color w:val="2B6CB0"/>
                <w:sz w:val="19"/>
              </w:rPr>
              <w:br/>
            </w:r>
            <w:r w:rsidRPr="00CB1FF3">
              <w:rPr>
                <w:rFonts w:ascii="Times New Roman" w:hAnsi="Times New Roman" w:cs="Times New Roman"/>
                <w:color w:val="2D3748"/>
                <w:sz w:val="20"/>
              </w:rPr>
              <w:t>ΔS = R - L</w:t>
            </w:r>
            <w:r w:rsidRPr="00CB1FF3">
              <w:rPr>
                <w:rFonts w:ascii="Times New Roman" w:hAnsi="Times New Roman" w:cs="Times New Roman"/>
                <w:color w:val="2D3748"/>
                <w:sz w:val="20"/>
              </w:rPr>
              <w:br/>
              <w:t>P = ET + RO + ΔS = ET + RO + R - L</w:t>
            </w:r>
            <w:r w:rsidRPr="00CB1FF3">
              <w:rPr>
                <w:rFonts w:ascii="Times New Roman" w:hAnsi="Times New Roman" w:cs="Times New Roman"/>
                <w:color w:val="2D3748"/>
                <w:sz w:val="20"/>
              </w:rPr>
              <w:br/>
            </w:r>
            <w:r w:rsidRPr="00CB1FF3">
              <w:rPr>
                <w:rFonts w:ascii="Times New Roman" w:hAnsi="Times New Roman" w:cs="Times New Roman"/>
                <w:color w:val="2D3748"/>
                <w:sz w:val="20"/>
              </w:rPr>
              <w:br/>
              <w:t>Where:</w:t>
            </w:r>
            <w:r w:rsidRPr="00CB1FF3">
              <w:rPr>
                <w:rFonts w:ascii="Times New Roman" w:hAnsi="Times New Roman" w:cs="Times New Roman"/>
                <w:color w:val="2D3748"/>
                <w:sz w:val="20"/>
              </w:rPr>
              <w:br/>
              <w:t>• P is observed monthly precipitation (mm)</w:t>
            </w:r>
            <w:r w:rsidRPr="00CB1FF3">
              <w:rPr>
                <w:rFonts w:ascii="Times New Roman" w:hAnsi="Times New Roman" w:cs="Times New Roman"/>
                <w:color w:val="2D3748"/>
                <w:sz w:val="20"/>
              </w:rPr>
              <w:br/>
              <w:t>• ET is actual evapotranspiration (mm)</w:t>
            </w:r>
            <w:r w:rsidRPr="00CB1FF3">
              <w:rPr>
                <w:rFonts w:ascii="Times New Roman" w:hAnsi="Times New Roman" w:cs="Times New Roman"/>
                <w:color w:val="2D3748"/>
                <w:sz w:val="20"/>
              </w:rPr>
              <w:br/>
              <w:t>• RO is surface and subsurface runoff (mm)</w:t>
            </w:r>
            <w:r w:rsidRPr="00CB1FF3">
              <w:rPr>
                <w:rFonts w:ascii="Times New Roman" w:hAnsi="Times New Roman" w:cs="Times New Roman"/>
                <w:color w:val="2D3748"/>
                <w:sz w:val="20"/>
              </w:rPr>
              <w:br/>
              <w:t>• R is soil moisture recharge to the two layers (mm)</w:t>
            </w:r>
            <w:r w:rsidRPr="00CB1FF3">
              <w:rPr>
                <w:rFonts w:ascii="Times New Roman" w:hAnsi="Times New Roman" w:cs="Times New Roman"/>
                <w:color w:val="2D3748"/>
                <w:sz w:val="20"/>
              </w:rPr>
              <w:br/>
              <w:t>• L is total soil moisture loss/drawdown (mm)</w:t>
            </w:r>
            <w:r w:rsidRPr="00CB1FF3">
              <w:rPr>
                <w:rFonts w:ascii="Times New Roman" w:hAnsi="Times New Roman" w:cs="Times New Roman"/>
                <w:color w:val="2D3748"/>
                <w:sz w:val="20"/>
              </w:rPr>
              <w:br/>
              <w:t>• ΔS is the net change in stored profile soil moisture (mm)</w:t>
            </w:r>
            <w:r w:rsidRPr="00CB1FF3">
              <w:rPr>
                <w:rFonts w:ascii="Times New Roman" w:hAnsi="Times New Roman" w:cs="Times New Roman"/>
                <w:color w:val="2D3748"/>
                <w:sz w:val="20"/>
              </w:rPr>
              <w:br/>
            </w:r>
            <w:r w:rsidRPr="00CB1FF3">
              <w:rPr>
                <w:rFonts w:ascii="Times New Roman" w:hAnsi="Times New Roman" w:cs="Times New Roman"/>
                <w:color w:val="2D3748"/>
                <w:sz w:val="20"/>
              </w:rPr>
              <w:br/>
              <w:t>CAFEC Precipitation (Climatically Appropriate For Existing Conditions):</w:t>
            </w:r>
            <w:r w:rsidRPr="00CB1FF3">
              <w:rPr>
                <w:rFonts w:ascii="Times New Roman" w:hAnsi="Times New Roman" w:cs="Times New Roman"/>
                <w:color w:val="2D3748"/>
                <w:sz w:val="20"/>
              </w:rPr>
              <w:br/>
              <w:t>P_hat_{m,g} = α_{m,g} * PET_{m,g} + β_{m,g} * PR_{m,g} + γ_{m,g} * PRO_{m,g} - δ_{m,g} * PL_{m,g}</w:t>
            </w:r>
            <w:r w:rsidRPr="00CB1FF3">
              <w:rPr>
                <w:rFonts w:ascii="Times New Roman" w:hAnsi="Times New Roman" w:cs="Times New Roman"/>
                <w:color w:val="2D3748"/>
                <w:sz w:val="20"/>
              </w:rPr>
              <w:br/>
            </w:r>
            <w:r w:rsidRPr="00CB1FF3">
              <w:rPr>
                <w:rFonts w:ascii="Times New Roman" w:hAnsi="Times New Roman" w:cs="Times New Roman"/>
                <w:color w:val="2D3748"/>
                <w:sz w:val="20"/>
              </w:rPr>
              <w:br/>
              <w:t>Where potential evapotranspiration (PET), potential recharge (PR), potential runoff (PRO), and potential loss (PL) are scaled by calibration coefficients α, β, γ, δ fitted separately for calendar month m and grid cell g across the 1990–2026 calibration record:</w:t>
            </w:r>
            <w:r w:rsidRPr="00CB1FF3">
              <w:rPr>
                <w:rFonts w:ascii="Times New Roman" w:hAnsi="Times New Roman" w:cs="Times New Roman"/>
                <w:color w:val="2D3748"/>
                <w:sz w:val="20"/>
              </w:rPr>
              <w:br/>
              <w:t>α_{m,g} = Σ(ET) / Σ(PET),   β_{m,g} = Σ(R) / Σ(PR),   γ_{m,g} = Σ(RO) / Σ(PRO),   δ_{m,g} = Σ(L) / Σ(PL)</w:t>
            </w:r>
          </w:p>
        </w:tc>
      </w:tr>
    </w:tbl>
    <w:p w14:paraId="30002391" w14:textId="77777777" w:rsidR="000D51DB" w:rsidRPr="00CB1FF3" w:rsidRDefault="000D51DB" w:rsidP="00CB1FF3">
      <w:pPr>
        <w:spacing w:after="120"/>
        <w:jc w:val="both"/>
        <w:rPr>
          <w:rFonts w:ascii="Times New Roman" w:hAnsi="Times New Roman" w:cs="Times New Roman"/>
        </w:rPr>
      </w:pPr>
    </w:p>
    <w:p w14:paraId="106141C7"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The moisture anomaly d is computed as the departure between observed precipitation and CAFEC precipitation, weighted by Palmer's climatic characteristic K to yield the Z-index (moisture anomaly index):</w:t>
      </w:r>
    </w:p>
    <w:tbl>
      <w:tblPr>
        <w:tblW w:w="0" w:type="auto"/>
        <w:jc w:val="center"/>
        <w:tblLayout w:type="fixed"/>
        <w:tblLook w:val="04A0" w:firstRow="1" w:lastRow="0" w:firstColumn="1" w:lastColumn="0" w:noHBand="0" w:noVBand="1"/>
      </w:tblPr>
      <w:tblGrid>
        <w:gridCol w:w="9360"/>
      </w:tblGrid>
      <w:tr w:rsidR="000D51DB" w:rsidRPr="00CB1FF3" w14:paraId="72B385BA" w14:textId="77777777">
        <w:trPr>
          <w:jc w:val="center"/>
        </w:trPr>
        <w:tc>
          <w:tcPr>
            <w:tcW w:w="9360" w:type="dxa"/>
            <w:tcBorders>
              <w:left w:val="single" w:sz="24" w:space="0" w:color="2B6CB0"/>
            </w:tcBorders>
            <w:shd w:val="clear" w:color="auto" w:fill="EDF2F7"/>
            <w:tcMar>
              <w:top w:w="140" w:type="dxa"/>
              <w:left w:w="200" w:type="dxa"/>
              <w:bottom w:w="140" w:type="dxa"/>
              <w:right w:w="200" w:type="dxa"/>
            </w:tcMar>
          </w:tcPr>
          <w:p w14:paraId="7E25296F" w14:textId="77777777" w:rsidR="000D51DB" w:rsidRPr="00CB1FF3" w:rsidRDefault="00CB1FF3" w:rsidP="00CB1FF3">
            <w:pPr>
              <w:spacing w:after="60"/>
              <w:jc w:val="both"/>
              <w:rPr>
                <w:rFonts w:ascii="Times New Roman" w:hAnsi="Times New Roman" w:cs="Times New Roman"/>
              </w:rPr>
            </w:pPr>
            <w:r w:rsidRPr="00CB1FF3">
              <w:rPr>
                <w:rFonts w:ascii="Times New Roman" w:hAnsi="Times New Roman" w:cs="Times New Roman"/>
                <w:b/>
                <w:color w:val="2B6CB0"/>
                <w:sz w:val="19"/>
              </w:rPr>
              <w:t>[MATHEMATICAL FORMULATION: Z-INDEX, RECURSION &amp; DYNAMIC SELF-CALIBRATION]</w:t>
            </w:r>
            <w:r w:rsidRPr="00CB1FF3">
              <w:rPr>
                <w:rFonts w:ascii="Times New Roman" w:hAnsi="Times New Roman" w:cs="Times New Roman"/>
                <w:b/>
                <w:color w:val="2B6CB0"/>
                <w:sz w:val="19"/>
              </w:rPr>
              <w:br/>
            </w:r>
            <w:r w:rsidRPr="00CB1FF3">
              <w:rPr>
                <w:rFonts w:ascii="Times New Roman" w:hAnsi="Times New Roman" w:cs="Times New Roman"/>
                <w:color w:val="2D3748"/>
                <w:sz w:val="20"/>
              </w:rPr>
              <w:t>d_{m,g} = P_{m,g} - P_hat_{m,g}</w:t>
            </w:r>
            <w:r w:rsidRPr="00CB1FF3">
              <w:rPr>
                <w:rFonts w:ascii="Times New Roman" w:hAnsi="Times New Roman" w:cs="Times New Roman"/>
                <w:color w:val="2D3748"/>
                <w:sz w:val="20"/>
              </w:rPr>
              <w:br/>
              <w:t>Z_{m,g} = K_{m,g} * d_{m,g}</w:t>
            </w:r>
            <w:r w:rsidRPr="00CB1FF3">
              <w:rPr>
                <w:rFonts w:ascii="Times New Roman" w:hAnsi="Times New Roman" w:cs="Times New Roman"/>
                <w:color w:val="2D3748"/>
                <w:sz w:val="20"/>
              </w:rPr>
              <w:br/>
            </w:r>
            <w:r w:rsidRPr="00CB1FF3">
              <w:rPr>
                <w:rFonts w:ascii="Times New Roman" w:hAnsi="Times New Roman" w:cs="Times New Roman"/>
                <w:color w:val="2D3748"/>
                <w:sz w:val="20"/>
              </w:rPr>
              <w:br/>
              <w:t>Where K is the climatic weighting factor derived from calibration-period mean departures d_bar and moisture flux ratio Q:</w:t>
            </w:r>
            <w:r w:rsidRPr="00CB1FF3">
              <w:rPr>
                <w:rFonts w:ascii="Times New Roman" w:hAnsi="Times New Roman" w:cs="Times New Roman"/>
                <w:color w:val="2D3748"/>
                <w:sz w:val="20"/>
              </w:rPr>
              <w:br/>
              <w:t>K'_{m,g} = 1.5 * log10[(Q_{m,g} + 2.8) / d_bar_{m,g}] + 0.5</w:t>
            </w:r>
            <w:r w:rsidRPr="00CB1FF3">
              <w:rPr>
                <w:rFonts w:ascii="Times New Roman" w:hAnsi="Times New Roman" w:cs="Times New Roman"/>
                <w:color w:val="2D3748"/>
                <w:sz w:val="20"/>
              </w:rPr>
              <w:br/>
              <w:t>K_{m,g} = K'_{m,g} * (17.67 / Σ(d_bar * K'))</w:t>
            </w:r>
            <w:r w:rsidRPr="00CB1FF3">
              <w:rPr>
                <w:rFonts w:ascii="Times New Roman" w:hAnsi="Times New Roman" w:cs="Times New Roman"/>
                <w:color w:val="2D3748"/>
                <w:sz w:val="20"/>
              </w:rPr>
              <w:br/>
            </w:r>
            <w:r w:rsidRPr="00CB1FF3">
              <w:rPr>
                <w:rFonts w:ascii="Times New Roman" w:hAnsi="Times New Roman" w:cs="Times New Roman"/>
                <w:color w:val="2D3748"/>
                <w:sz w:val="20"/>
              </w:rPr>
              <w:br/>
              <w:t>Palmer Severity Recursion and Dynamic Self-Calibration:</w:t>
            </w:r>
            <w:r w:rsidRPr="00CB1FF3">
              <w:rPr>
                <w:rFonts w:ascii="Times New Roman" w:hAnsi="Times New Roman" w:cs="Times New Roman"/>
                <w:color w:val="2D3748"/>
                <w:sz w:val="20"/>
              </w:rPr>
              <w:br/>
              <w:t>X_{t,raw} = 0.897 * X_{t-1,raw} + (Z_{t} / 3)</w:t>
            </w:r>
            <w:r w:rsidRPr="00CB1FF3">
              <w:rPr>
                <w:rFonts w:ascii="Times New Roman" w:hAnsi="Times New Roman" w:cs="Times New Roman"/>
                <w:color w:val="2D3748"/>
                <w:sz w:val="20"/>
              </w:rPr>
              <w:br/>
            </w:r>
            <w:r w:rsidRPr="00CB1FF3">
              <w:rPr>
                <w:rFonts w:ascii="Times New Roman" w:hAnsi="Times New Roman" w:cs="Times New Roman"/>
                <w:color w:val="2D3748"/>
                <w:sz w:val="20"/>
              </w:rPr>
              <w:br/>
              <w:t>In the project self-calibration procedure, extreme severity tails are rescaled against historical 2nd percentile (q_{0.02}) and 98th percentile (q_{0.98}) calibration records at each cell g:</w:t>
            </w:r>
            <w:r w:rsidRPr="00CB1FF3">
              <w:rPr>
                <w:rFonts w:ascii="Times New Roman" w:hAnsi="Times New Roman" w:cs="Times New Roman"/>
                <w:color w:val="2D3748"/>
                <w:sz w:val="20"/>
              </w:rPr>
              <w:br/>
              <w:t>Sc-PDSI_{t,g} = -4.0 * (X_{t,raw} / |q_{0.02,g}|)   [when X_{t,raw} &lt; 0]</w:t>
            </w:r>
            <w:r w:rsidRPr="00CB1FF3">
              <w:rPr>
                <w:rFonts w:ascii="Times New Roman" w:hAnsi="Times New Roman" w:cs="Times New Roman"/>
                <w:color w:val="2D3748"/>
                <w:sz w:val="20"/>
              </w:rPr>
              <w:br/>
              <w:t>Sc-PDSI_{t,g} = +4.0 * (X_{t,raw} / q_{0.98,g})     [when X_{t,raw} &gt;= 0]</w:t>
            </w:r>
          </w:p>
        </w:tc>
      </w:tr>
    </w:tbl>
    <w:p w14:paraId="6C1E1AE4" w14:textId="77777777" w:rsidR="000D51DB" w:rsidRPr="00CB1FF3" w:rsidRDefault="000D51DB" w:rsidP="00CB1FF3">
      <w:pPr>
        <w:spacing w:after="120"/>
        <w:jc w:val="both"/>
        <w:rPr>
          <w:rFonts w:ascii="Times New Roman" w:hAnsi="Times New Roman" w:cs="Times New Roman"/>
        </w:rPr>
      </w:pPr>
    </w:p>
    <w:p w14:paraId="59FA9370" w14:textId="77777777" w:rsidR="000D51DB" w:rsidRPr="00CB1FF3" w:rsidRDefault="00CB1FF3" w:rsidP="00CB1FF3">
      <w:pPr>
        <w:keepNext/>
        <w:spacing w:before="160" w:after="60"/>
        <w:jc w:val="both"/>
        <w:rPr>
          <w:rFonts w:ascii="Times New Roman" w:hAnsi="Times New Roman" w:cs="Times New Roman"/>
        </w:rPr>
      </w:pPr>
      <w:r w:rsidRPr="00CB1FF3">
        <w:rPr>
          <w:rFonts w:ascii="Times New Roman" w:hAnsi="Times New Roman" w:cs="Times New Roman"/>
          <w:b/>
          <w:color w:val="2D3748"/>
        </w:rPr>
        <w:lastRenderedPageBreak/>
        <w:t>2.2.2 Standardized Precipitation Index (SPI)</w:t>
      </w:r>
    </w:p>
    <w:p w14:paraId="7CF71E34"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The Standardized Precipitation Index (SPI) is computed across multiple accumulation timescales (1-month SPI-1 for immediate meteorological stress, 3-month SPI-3 for agricultural root-zone moisture, and 6-month SPI-6 for hydrological reservoir balance). Long-term monthly precipitation totals are fitted to a two-parameter Gamma probability density function g(x):</w:t>
      </w:r>
    </w:p>
    <w:p w14:paraId="2F4EAE06"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g(x) = [1 / (β^α * Γ(α))] * x^(α - 1) * e^(-x / β)   for x &gt; 0</w:t>
      </w:r>
      <w:r w:rsidRPr="00CB1FF3">
        <w:rPr>
          <w:rFonts w:ascii="Times New Roman" w:hAnsi="Times New Roman" w:cs="Times New Roman"/>
          <w:color w:val="2D3748"/>
          <w:sz w:val="21"/>
        </w:rPr>
        <w:br/>
        <w:t>Where α &gt; 0 is the shape parameter, β &gt; 0 is the scale parameter, and Γ(α) is the Gamma function. Cumulative probability distributions are transformed to standard normal distributions Z ~ N(0, 1), yielding SPI values where SPI &lt;= -1.0 denotes moderate drought, SPI &lt;= -1.5 denotes severe drought, and SPI &lt;= -2.0 denotes extreme drought.</w:t>
      </w:r>
    </w:p>
    <w:p w14:paraId="7876DCD7" w14:textId="77777777" w:rsidR="000D51DB" w:rsidRPr="00CB1FF3" w:rsidRDefault="00CB1FF3" w:rsidP="00CB1FF3">
      <w:pPr>
        <w:keepNext/>
        <w:spacing w:before="160" w:after="60"/>
        <w:jc w:val="both"/>
        <w:rPr>
          <w:rFonts w:ascii="Times New Roman" w:hAnsi="Times New Roman" w:cs="Times New Roman"/>
        </w:rPr>
      </w:pPr>
      <w:r w:rsidRPr="00CB1FF3">
        <w:rPr>
          <w:rFonts w:ascii="Times New Roman" w:hAnsi="Times New Roman" w:cs="Times New Roman"/>
          <w:b/>
          <w:color w:val="2D3748"/>
        </w:rPr>
        <w:t>2.2.3 Vegetation Condition Index (VCI)</w:t>
      </w:r>
    </w:p>
    <w:p w14:paraId="03031AF2"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To separate weather-induced physiological vegetation stress from static ecological landscape variations, the satellite-derived Vegetation Condition Index (VCI) is formulated from 16-day MODIS MOD13Q1 NDVI rasters:</w:t>
      </w:r>
    </w:p>
    <w:p w14:paraId="292D6CB0"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VCI_{i,g} = [(NDVI_{i,g} - NDVI_{min,g}) / (NDVI_{max,g} - NDVI_{min,g})] * 100%</w:t>
      </w:r>
      <w:r w:rsidRPr="00CB1FF3">
        <w:rPr>
          <w:rFonts w:ascii="Times New Roman" w:hAnsi="Times New Roman" w:cs="Times New Roman"/>
          <w:color w:val="2D3748"/>
          <w:sz w:val="21"/>
        </w:rPr>
        <w:br/>
        <w:t>Where NDVI_{i,g} is the observed composite greenness for period i, and NDVI_{min,g} and NDVI_{max,g} represent the absolute multi-year historical minimum and maximum NDVI for that calendar window at grid cell g. VCI values below 35% indicate severe agricultural drought stress.</w:t>
      </w:r>
    </w:p>
    <w:p w14:paraId="4EAF6D50" w14:textId="77777777" w:rsidR="000D51DB" w:rsidRPr="00CB1FF3" w:rsidRDefault="00CB1FF3" w:rsidP="00CB1FF3">
      <w:pPr>
        <w:keepNext/>
        <w:spacing w:before="240" w:after="80"/>
        <w:jc w:val="both"/>
        <w:rPr>
          <w:rFonts w:ascii="Times New Roman" w:hAnsi="Times New Roman" w:cs="Times New Roman"/>
        </w:rPr>
      </w:pPr>
      <w:r w:rsidRPr="00CB1FF3">
        <w:rPr>
          <w:rFonts w:ascii="Times New Roman" w:hAnsi="Times New Roman" w:cs="Times New Roman"/>
          <w:b/>
          <w:color w:val="2B6CB0"/>
          <w:sz w:val="24"/>
        </w:rPr>
        <w:t>2.3 Atmospheric Teleconnections: Oceanic-Atmospheric Forcing in Eastern Ethiopia</w:t>
      </w:r>
    </w:p>
    <w:p w14:paraId="3B016A95"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Rainfall variability across Eastern Ethiopia is teleconnected to sea surface temperature (SST) anomalies in the tropical Pacific and Indian Oceans through atmospheric Walker Circulation perturbations. Under El Niño conditions (warm SST anomalies in the Niño 3.4 domain [5°N–5°S, 170°W–120°W]), anomalous eastward displacement of tropical convective cells induces strong atmospheric subsidence and suppressed convection over the Ethiopian Highlands. Conversely, a positive Indian Ocean Dipole (+IOD: warm western Indian Ocean, cool eastern Indian Ocean) frequently enhances moisture flux toward East Africa during the Deyr / autumn season, though severe negative IOD (-IOD) phases amplify devastating multi-season droughts.</w:t>
      </w:r>
    </w:p>
    <w:p w14:paraId="4062ABC6"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In this research, Pacific and Indian Ocean teleconnections are mathematically quantified using cross-correlation lag analysis spanning 0 to 9 month offsets across four Pacific indices (Niño 3.4, Niño 1+2, Niño 4, Southern Oscillation Index [SOI]) and the Dipole Mode Index (DMI). A dedicated Conv1D-LSTM neural forecaster is designed to predict Niño 3.4 SST trajectories up to 12 months in advance, providing the deep learning system with antecedent global boundary forcing.</w:t>
      </w:r>
    </w:p>
    <w:p w14:paraId="24649603" w14:textId="77777777" w:rsidR="000D51DB" w:rsidRPr="00CB1FF3" w:rsidRDefault="00CB1FF3" w:rsidP="00CB1FF3">
      <w:pPr>
        <w:keepNext/>
        <w:spacing w:before="240" w:after="80"/>
        <w:jc w:val="both"/>
        <w:rPr>
          <w:rFonts w:ascii="Times New Roman" w:hAnsi="Times New Roman" w:cs="Times New Roman"/>
        </w:rPr>
      </w:pPr>
      <w:r w:rsidRPr="00CB1FF3">
        <w:rPr>
          <w:rFonts w:ascii="Times New Roman" w:hAnsi="Times New Roman" w:cs="Times New Roman"/>
          <w:b/>
          <w:color w:val="2B6CB0"/>
          <w:sz w:val="24"/>
        </w:rPr>
        <w:t>2.4 Deep Learning and Multimodal Representation Learning Paradigms</w:t>
      </w:r>
    </w:p>
    <w:p w14:paraId="41DBA4B7"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Agricultural drought and food insecurity prediction present a multi-faceted spatiotemporal challenge where data structures differ fundamentally. Unimodal models fail because they cannot jointly represent spatial textures, sequential trajectories, cyclic harmonics, and structured tabular factors. We establish a multi-branch representation strategy:</w:t>
      </w:r>
    </w:p>
    <w:p w14:paraId="224AE017"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Spatial Feature Representation (2D-CNN): </w:t>
      </w:r>
      <w:r w:rsidRPr="00CB1FF3">
        <w:rPr>
          <w:rFonts w:ascii="Times New Roman" w:hAnsi="Times New Roman" w:cs="Times New Roman"/>
          <w:color w:val="2D3748"/>
          <w:sz w:val="21"/>
        </w:rPr>
        <w:t>2D Convolutional Neural Networks (CNNs) and deep residual networks (ResNet-50) excel at extracting localized spatial correlations, spatial gradients, and morphological textures from gridded satellite imagery (MODIS NDVI, EVI, and Daytime/Nighttime LST). Convolutions capture spatial contiguity and edge effects across topographic basins.</w:t>
      </w:r>
    </w:p>
    <w:p w14:paraId="2D83A381"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lastRenderedPageBreak/>
        <w:t xml:space="preserve">Temporal Sequence Representation (LSTM): </w:t>
      </w:r>
      <w:r w:rsidRPr="00CB1FF3">
        <w:rPr>
          <w:rFonts w:ascii="Times New Roman" w:hAnsi="Times New Roman" w:cs="Times New Roman"/>
          <w:color w:val="2D3748"/>
          <w:sz w:val="21"/>
        </w:rPr>
        <w:t>Long Short-Term Memory (LSTM) recurrent neural networks capture long-range temporal dependencies, memory drawdown, and non-linear lag relationships across sequential hydro-climatic variables (CHIRPS precipitation, SMAP soil moisture, ERA5 temperature, and wind vectors), mitigating vanishing gradient bottlenecks.</w:t>
      </w:r>
    </w:p>
    <w:p w14:paraId="2E245AD7"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Harmonic &amp; Periodic Representation (FFT): </w:t>
      </w:r>
      <w:r w:rsidRPr="00CB1FF3">
        <w:rPr>
          <w:rFonts w:ascii="Times New Roman" w:hAnsi="Times New Roman" w:cs="Times New Roman"/>
          <w:color w:val="2D3748"/>
          <w:sz w:val="21"/>
        </w:rPr>
        <w:t>Fast Fourier Transforms (FFT) map temporal climate series into the frequency domain, decomposing signals into fundamental sinusoidal frequencies. This harmonic branch encodes planetary astronomical periodicity, bi-annual Belg/Kiremt transitions, and multi-annual solar/ENSO cycles, anchoring the model against chaotic phase drift at longer lead times.</w:t>
      </w:r>
    </w:p>
    <w:p w14:paraId="43BDAED1"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Structured Tabular Representation (MLP): </w:t>
      </w:r>
      <w:r w:rsidRPr="00CB1FF3">
        <w:rPr>
          <w:rFonts w:ascii="Times New Roman" w:hAnsi="Times New Roman" w:cs="Times New Roman"/>
          <w:color w:val="2D3748"/>
          <w:sz w:val="21"/>
        </w:rPr>
        <w:t>Multilayer Perceptrons (MLPs) with batch normalization and dropout process structured tabular agricultural statistics (crop area, historical production), demographic density (WorldPop), and static soil edaphic properties (SoilGrids pH, clay, SOC).</w:t>
      </w:r>
    </w:p>
    <w:p w14:paraId="5EE8510E"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Multimodal Fusion Paradigms: </w:t>
      </w:r>
      <w:r w:rsidRPr="00CB1FF3">
        <w:rPr>
          <w:rFonts w:ascii="Times New Roman" w:hAnsi="Times New Roman" w:cs="Times New Roman"/>
          <w:color w:val="2D3748"/>
          <w:sz w:val="21"/>
        </w:rPr>
        <w:t>Rather than naive vector concatenation (which allows high-dimensional image tensors to dominate low-dimensional tabular features), we introduce a Gated Cross-Attention Multimodal Fusion Engine. Cross-attention computes dynamic attention weights between spatial visual tokens, temporal latent states, and tabular vulnerability vectors, filtering irrelevant noise and amplifying cross-modal synergies.</w:t>
      </w:r>
    </w:p>
    <w:p w14:paraId="117A6AB8" w14:textId="77777777" w:rsidR="000D51DB" w:rsidRPr="00CB1FF3" w:rsidRDefault="00CB1FF3" w:rsidP="00CB1FF3">
      <w:pPr>
        <w:keepNext/>
        <w:spacing w:before="240" w:after="80"/>
        <w:jc w:val="both"/>
        <w:rPr>
          <w:rFonts w:ascii="Times New Roman" w:hAnsi="Times New Roman" w:cs="Times New Roman"/>
        </w:rPr>
      </w:pPr>
      <w:r w:rsidRPr="00CB1FF3">
        <w:rPr>
          <w:rFonts w:ascii="Times New Roman" w:hAnsi="Times New Roman" w:cs="Times New Roman"/>
          <w:b/>
          <w:color w:val="2B6CB0"/>
          <w:sz w:val="24"/>
        </w:rPr>
        <w:t>2.5 Explainable Artificial Intelligence (XAI) in Environmental Modeling</w:t>
      </w:r>
    </w:p>
    <w:p w14:paraId="205CC626"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In humanitarian disaster management and agricultural advisory systems, 'black-box' deep learning models encounter deep skepticism from agronomists, extension agents, and policy makers. To ensure transparency, scientific defensibility, and algorithmic accountability, this thesis integrates three complementary Explainable AI (XAI) methodologies:</w:t>
      </w:r>
    </w:p>
    <w:p w14:paraId="222A6737"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1. SHAP (SHapley Additive exPlanations): </w:t>
      </w:r>
      <w:r w:rsidRPr="00CB1FF3">
        <w:rPr>
          <w:rFonts w:ascii="Times New Roman" w:hAnsi="Times New Roman" w:cs="Times New Roman"/>
          <w:color w:val="2D3748"/>
          <w:sz w:val="21"/>
        </w:rPr>
        <w:t>Based on cooperative game theory, SHAP computes the Shapley value of each tabular and fused feature, quantifying its positive or negative marginal contribution to individual woreda-level risk predictions. SHAP generates global feature importance rankings and local waterfall/force plots for every alert issued.</w:t>
      </w:r>
    </w:p>
    <w:p w14:paraId="4FC6606D"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2. Grad-CAM (Gradient-Weighted Class Activation Mapping): </w:t>
      </w:r>
      <w:r w:rsidRPr="00CB1FF3">
        <w:rPr>
          <w:rFonts w:ascii="Times New Roman" w:hAnsi="Times New Roman" w:cs="Times New Roman"/>
          <w:color w:val="2D3748"/>
          <w:sz w:val="21"/>
        </w:rPr>
        <w:t>Grad-CAM uses the gradient of the predicted risk score flowing into the final convolutional layer of the spatial CNN branch to produce coarse 2D heatmaps highlighting the exact geographical patches (e.g., specific valley corridors or deforested slopes) that triggered high-risk alerts.</w:t>
      </w:r>
    </w:p>
    <w:p w14:paraId="086E1F53"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3. Temporal Lag Attribution: </w:t>
      </w:r>
      <w:r w:rsidRPr="00CB1FF3">
        <w:rPr>
          <w:rFonts w:ascii="Times New Roman" w:hAnsi="Times New Roman" w:cs="Times New Roman"/>
          <w:color w:val="2D3748"/>
          <w:sz w:val="21"/>
        </w:rPr>
        <w:t>Temporal attention weights and input perturbation analyses quantify which specific antecedent months (e.g., rainfall failure 2 months prior vs. soil moisture deficit 1 month prior) exerted the dominant influence on the forecast.</w:t>
      </w:r>
    </w:p>
    <w:p w14:paraId="03B471F2" w14:textId="77777777" w:rsidR="000D51DB" w:rsidRPr="00CB1FF3" w:rsidRDefault="00CB1FF3" w:rsidP="00CB1FF3">
      <w:pPr>
        <w:keepNext/>
        <w:spacing w:before="240" w:after="80"/>
        <w:jc w:val="both"/>
        <w:rPr>
          <w:rFonts w:ascii="Times New Roman" w:hAnsi="Times New Roman" w:cs="Times New Roman"/>
        </w:rPr>
      </w:pPr>
      <w:r w:rsidRPr="00CB1FF3">
        <w:rPr>
          <w:rFonts w:ascii="Times New Roman" w:hAnsi="Times New Roman" w:cs="Times New Roman"/>
          <w:b/>
          <w:color w:val="2B6CB0"/>
          <w:sz w:val="24"/>
        </w:rPr>
        <w:t>2.6 Semantic Knowledge Graphs in Early Warning and Disaster Risk Reduction</w:t>
      </w:r>
    </w:p>
    <w:p w14:paraId="3C840CA2"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While neural networks excel at continuous pattern recognition, they cannot explicitly represent relational hierarchies, institutional networks, or multi-hazard cascading impacts. We implement a semantic Knowledge Graph in Neo4j governed by a domain-specific agricultural ontology. The graph explicitly connects spatial entities (Woredas, Kebeles) to dynamic observations (ClimateRecords, SoilMoistureRecords, VegetationRecords), agricultural assets (Crops, Livestock Systems), hazard events (DroughtEvents, Floods), vulnerable demographics (Populations, LivelihoodZones), and institutional responses (Interventions, PSNP Cash/Food Transfers, EarlyWarningAlerts). Graph traversal queries enable complex contextual reasoning that enriches the decision-support interface.</w:t>
      </w:r>
    </w:p>
    <w:p w14:paraId="30E573C6" w14:textId="77777777" w:rsidR="000D51DB" w:rsidRPr="00CB1FF3" w:rsidRDefault="00CB1FF3" w:rsidP="00CB1FF3">
      <w:pPr>
        <w:keepNext/>
        <w:spacing w:before="240" w:after="80"/>
        <w:jc w:val="both"/>
        <w:rPr>
          <w:rFonts w:ascii="Times New Roman" w:hAnsi="Times New Roman" w:cs="Times New Roman"/>
        </w:rPr>
      </w:pPr>
      <w:r w:rsidRPr="00CB1FF3">
        <w:rPr>
          <w:rFonts w:ascii="Times New Roman" w:hAnsi="Times New Roman" w:cs="Times New Roman"/>
          <w:b/>
          <w:color w:val="2B6CB0"/>
          <w:sz w:val="24"/>
        </w:rPr>
        <w:lastRenderedPageBreak/>
        <w:t>2.7 Indigenous Ecological Knowledge (IEK) and Agronomic Translation</w:t>
      </w:r>
    </w:p>
    <w:p w14:paraId="6D97535C"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Centuries before modern satellite remote sensing, smallholder farming and pastoralist communities in Eastern Ethiopia developed sophisticated, empirical Indigenous Ecological Knowledge (IEK) systems to forecast weather extremes and guide farming decisions. These indicators include atmospheric cues (shifts in prevailing dry easterly winds vs. moist southwesterlies; morning cloud formations over Harar and Gara Muleta mountains), faunal indicators (abnormal nesting and flight trajectories of the Abdim's Stork [Ciconia abdimii, locally known as 'Shimela']; intense honeybee swarming and aggressive foraging), and floral phenology (early flowering of Acacia bussei and Hagenia abyssinica).</w:t>
      </w:r>
    </w:p>
    <w:p w14:paraId="6165E7DB"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Rather than ignoring or romanticizing these traditional cues, this research designs a formal, computational Bi-Directional IEK Consensus Engine. The engine cross-validates AI-derived probabilistic forecasts against community-submitted traditional bio-climatic observations, classifying the operational state into High Consensus, Moderate Consensus, or Divergent Consensus, thereby fostering reciprocal community ownership and elevating advisory adoption.</w:t>
      </w:r>
    </w:p>
    <w:p w14:paraId="1D7CAB15" w14:textId="77777777" w:rsidR="000D51DB" w:rsidRPr="00CB1FF3" w:rsidRDefault="00CB1FF3" w:rsidP="00CB1FF3">
      <w:pPr>
        <w:keepNext/>
        <w:spacing w:before="240" w:after="80"/>
        <w:jc w:val="both"/>
        <w:rPr>
          <w:rFonts w:ascii="Times New Roman" w:hAnsi="Times New Roman" w:cs="Times New Roman"/>
        </w:rPr>
      </w:pPr>
      <w:r w:rsidRPr="00CB1FF3">
        <w:rPr>
          <w:rFonts w:ascii="Times New Roman" w:hAnsi="Times New Roman" w:cs="Times New Roman"/>
          <w:b/>
          <w:color w:val="2B6CB0"/>
          <w:sz w:val="24"/>
        </w:rPr>
        <w:t>2.8 Conceptual Framework Blueprint</w:t>
      </w:r>
    </w:p>
    <w:p w14:paraId="52BBF508"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The overarching conceptual framework of this thesis is structured as a five-tiered operational hierarchy spanning from multi-source data ingestion to on-the-ground farmer action, as illustrated in the system architecture blueprint:</w:t>
      </w:r>
    </w:p>
    <w:p w14:paraId="0FB41AC9"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Tier 1: Multi-Source Data Ingestion &amp; Manifest Security: </w:t>
      </w:r>
      <w:r w:rsidRPr="00CB1FF3">
        <w:rPr>
          <w:rFonts w:ascii="Times New Roman" w:hAnsi="Times New Roman" w:cs="Times New Roman"/>
          <w:color w:val="2D3748"/>
          <w:sz w:val="21"/>
        </w:rPr>
        <w:t>Automated, zero-credential connectors ingest global Pacific SST indices, ERA5 atmospheric reanalysis, CHIRPS v3 satellite rainfall, NASA SMAP soil moisture, NASA MODIS NDVI/LST, SoilGrids edaphic layers, WorldPop population grids, CSA agricultural statistics, and FEWS NET IPC classifications. Every ingestion run computes SHA-256 cryptographic manifests for immutable data provenance.</w:t>
      </w:r>
    </w:p>
    <w:p w14:paraId="0B74538F"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Tier 2: Feature Engineering &amp; Spatial Discretization: </w:t>
      </w:r>
      <w:r w:rsidRPr="00CB1FF3">
        <w:rPr>
          <w:rFonts w:ascii="Times New Roman" w:hAnsi="Times New Roman" w:cs="Times New Roman"/>
          <w:color w:val="2D3748"/>
          <w:sz w:val="21"/>
        </w:rPr>
        <w:t>Data are aligned to authoritative Ethiopian administrative WGS84 woreda boundaries and an 8×8 topographic grid. Physical indices (Sc-PDSI, SPI-1/3/6, VCI, anomalies) are computed, and temporal multi-month sliding windows are assembled without look-ahead data leakage.</w:t>
      </w:r>
    </w:p>
    <w:p w14:paraId="08B653D1"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Tier 3: Super-Hybrid Multimodal Deep Learning Engine: </w:t>
      </w:r>
      <w:r w:rsidRPr="00CB1FF3">
        <w:rPr>
          <w:rFonts w:ascii="Times New Roman" w:hAnsi="Times New Roman" w:cs="Times New Roman"/>
          <w:color w:val="2D3748"/>
          <w:sz w:val="21"/>
        </w:rPr>
        <w:t>The Super-Hybrid Deep Learning Engine processes spatial patches (CNN), temporal sequences (LSTM), periodic harmonics (FFT), and structured tables (MLP), combining them via a Gated Cross-Attention Fusion Engine. Prediction heads emit Drought Hazard Probability, Crop Risk, and FEWS NET IPC Food Insecurity Phase.</w:t>
      </w:r>
    </w:p>
    <w:p w14:paraId="55BA3B9C"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Tier 4: Agro-Ecological Decision Support, IEK Consensus &amp; XAI: </w:t>
      </w:r>
      <w:r w:rsidRPr="00CB1FF3">
        <w:rPr>
          <w:rFonts w:ascii="Times New Roman" w:hAnsi="Times New Roman" w:cs="Times New Roman"/>
          <w:color w:val="2D3748"/>
          <w:sz w:val="21"/>
        </w:rPr>
        <w:t>Predictions are evaluated under the 'Honest Lead Horizon' principle (BSS gating). Crop hazard is mapped through biological sensitivity multipliers (s) onto a 4-tier prescriptive action matrix. The IEK consensus engine reconciles traditional bio-cues. XAI modules (SHAP, Grad-CAM) and the Neo4j Knowledge Graph provide human-interpretable contextual evidence.</w:t>
      </w:r>
    </w:p>
    <w:p w14:paraId="648DC2D6"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Tier 5: Multi-Platform Enterprise Delivery Ecosystem: </w:t>
      </w:r>
      <w:r w:rsidRPr="00CB1FF3">
        <w:rPr>
          <w:rFonts w:ascii="Times New Roman" w:hAnsi="Times New Roman" w:cs="Times New Roman"/>
          <w:color w:val="2D3748"/>
          <w:sz w:val="21"/>
        </w:rPr>
        <w:t>Delivers actionable intelligence through a cloud-native FastAPI backend (PostgreSQL 17 + Star Schema), a Next.js 16 Web Command Centre with role-scoped multi-tenancy (Ministers, Woreda Development Agents, Farmers), and an offline-first Expo React Native mobile application supporting English, Amharic, and Afaan Oromoo.</w:t>
      </w:r>
    </w:p>
    <w:p w14:paraId="2D786C8D" w14:textId="77777777" w:rsidR="000D51DB" w:rsidRPr="00CB1FF3" w:rsidRDefault="00CB1FF3" w:rsidP="00CB1FF3">
      <w:pPr>
        <w:jc w:val="both"/>
        <w:rPr>
          <w:rFonts w:ascii="Times New Roman" w:hAnsi="Times New Roman" w:cs="Times New Roman"/>
        </w:rPr>
      </w:pPr>
      <w:r w:rsidRPr="00CB1FF3">
        <w:rPr>
          <w:rFonts w:ascii="Times New Roman" w:hAnsi="Times New Roman" w:cs="Times New Roman"/>
        </w:rPr>
        <w:br w:type="page"/>
      </w:r>
    </w:p>
    <w:p w14:paraId="7FE92AC5" w14:textId="77777777" w:rsidR="000D51DB" w:rsidRPr="00CB1FF3" w:rsidRDefault="00CB1FF3" w:rsidP="00CB1FF3">
      <w:pPr>
        <w:keepNext/>
        <w:spacing w:before="320" w:after="120"/>
        <w:jc w:val="both"/>
        <w:rPr>
          <w:rFonts w:ascii="Times New Roman" w:hAnsi="Times New Roman" w:cs="Times New Roman"/>
        </w:rPr>
      </w:pPr>
      <w:r w:rsidRPr="00CB1FF3">
        <w:rPr>
          <w:rFonts w:ascii="Times New Roman" w:hAnsi="Times New Roman" w:cs="Times New Roman"/>
          <w:b/>
          <w:color w:val="1A365D"/>
          <w:sz w:val="28"/>
        </w:rPr>
        <w:lastRenderedPageBreak/>
        <w:t>CHAPTER THREE: RESEARCH METHODOLOGY AND TECHNICAL ARCHITECTURE</w:t>
      </w:r>
    </w:p>
    <w:p w14:paraId="2F1AC7B2" w14:textId="77777777" w:rsidR="000D51DB" w:rsidRPr="00CB1FF3" w:rsidRDefault="00CB1FF3" w:rsidP="00CB1FF3">
      <w:pPr>
        <w:keepNext/>
        <w:spacing w:before="240" w:after="80"/>
        <w:jc w:val="both"/>
        <w:rPr>
          <w:rFonts w:ascii="Times New Roman" w:hAnsi="Times New Roman" w:cs="Times New Roman"/>
        </w:rPr>
      </w:pPr>
      <w:r w:rsidRPr="00CB1FF3">
        <w:rPr>
          <w:rFonts w:ascii="Times New Roman" w:hAnsi="Times New Roman" w:cs="Times New Roman"/>
          <w:b/>
          <w:color w:val="2B6CB0"/>
          <w:sz w:val="24"/>
        </w:rPr>
        <w:t>3.1 Study Area Delineation and Agro-Ecological Characterization</w:t>
      </w:r>
    </w:p>
    <w:p w14:paraId="316BC285"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The study area is located in Eastern Ethiopia, specifically focused on the Eastern Hararghe (East Hararge) Administrative Zone within the Oromia Regional State. Geographically, Eastern Hararghe extends approximately between 7°32′ N to 9°44′ N latitude and 41°10′ E to 43°16′ E longitude, covering an extensive and topographically dissected area of approximately 24,247 km² bordering the Dire Dawa Administrative Council to the north, Harari Regional State, the Somali Regional State to the east and south, and West Hararghe Zone to the west.</w:t>
      </w:r>
    </w:p>
    <w:p w14:paraId="0E122D67"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The terrain exhibits a precipitous elevation gradient spanning from over 3,400 meters above sea level in the high-altitude peaks of the Gara Muleta mountain range down to 500 meters in the semi-arid lowland river basins draining toward the Wabe Shebelle. This profound vertical relief establishes three sharply demarcated agro-ecological zones:</w:t>
      </w:r>
    </w:p>
    <w:p w14:paraId="6A648E06"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1. Kolla (Warm Semi-Arid Lowlands, ~40% of zone): </w:t>
      </w:r>
      <w:r w:rsidRPr="00CB1FF3">
        <w:rPr>
          <w:rFonts w:ascii="Times New Roman" w:hAnsi="Times New Roman" w:cs="Times New Roman"/>
          <w:color w:val="2D3748"/>
          <w:sz w:val="21"/>
        </w:rPr>
        <w:t>Low-altitude valleys and plains (&lt; 1,500 m a.s.l.) characterized by high mean temperatures (25°C–32°C), high potential evapotranspiration, shallow sandy soils, and erratic rainfall (400–600 mm/year). Farming is dominated by drought-tolerant sorghum, short-cycle millet, sesame, and pastoral/agro-pastoral camel and goat husbandry. Highly prone to severe meteorological and agricultural moisture deficits.</w:t>
      </w:r>
    </w:p>
    <w:p w14:paraId="2EA97291"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2. Woina Dega (Temperate Midlands, ~45% of zone): </w:t>
      </w:r>
      <w:r w:rsidRPr="00CB1FF3">
        <w:rPr>
          <w:rFonts w:ascii="Times New Roman" w:hAnsi="Times New Roman" w:cs="Times New Roman"/>
          <w:color w:val="2D3748"/>
          <w:sz w:val="21"/>
        </w:rPr>
        <w:t>Mid-altitude plateaus and undulating hills (1,500–2,300 m a.s.l.) featuring moderate temperatures (18°C–24°C), fertile vertisols and cambisols, and moderate rainfall (600–900 mm/year). Represents the agricultural core of the zone, supporting intensive mixed smallholder production of sorghum, maize, haricot beans, intercropped vegetables, and high-value cash-crop khat (Catha edulis).</w:t>
      </w:r>
    </w:p>
    <w:p w14:paraId="359CFE37"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3. Dega (Cool Sub-Humid Highlands, ~15% of zone): </w:t>
      </w:r>
      <w:r w:rsidRPr="00CB1FF3">
        <w:rPr>
          <w:rFonts w:ascii="Times New Roman" w:hAnsi="Times New Roman" w:cs="Times New Roman"/>
          <w:color w:val="2D3748"/>
          <w:sz w:val="21"/>
        </w:rPr>
        <w:t>Highland ridges and plateaus (2,300–3,400 m a.s.l.) characterized by cool thermal regimes (10°C–18°C), andosols and luvisols, and higher rainfall (900–1,200 mm/year). Dominated by bread wheat, barley, faba beans, field peas, and highland potatoes. Vulnerable to early-season dry spells, waterlogging during peak rains, and highland frost during the Bega season.</w:t>
      </w:r>
    </w:p>
    <w:p w14:paraId="62D16024"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Administratively, the zone encompasses over 18 rural woredas, including Babile, Fedis, Gursum, Jarso, Kersa, Deder, Meta, Haramaya, Kombolcha, Girawa, Bedeno, Kurfa Chele, Chinaksen, Midhaga Tola, Meyu Muluke, Kumbi, Golo Oda, and Bate. The zone experiences a bimodal precipitation regime: the Belg (short rainy season, March to May) vital for land preparation and long-cycle cereal sowing, and the Kiremt / Meher (main monsoon rains, June to September) accounting for over 70% of crop biomass production. In the southern agro-pastoral woredas, rainfall follows the equatorial bimodal Gu/Genna (April–June) and Deyr/Karan (October–November) cycle. This dual exposure makes Eastern Hararghe an ideal living laboratory for multimodal drought and food-insecurity early warning research.</w:t>
      </w:r>
    </w:p>
    <w:p w14:paraId="15622EF4" w14:textId="77777777" w:rsidR="000D51DB" w:rsidRPr="00CB1FF3" w:rsidRDefault="00CB1FF3" w:rsidP="00CB1FF3">
      <w:pPr>
        <w:keepNext/>
        <w:spacing w:before="240" w:after="80"/>
        <w:jc w:val="both"/>
        <w:rPr>
          <w:rFonts w:ascii="Times New Roman" w:hAnsi="Times New Roman" w:cs="Times New Roman"/>
        </w:rPr>
      </w:pPr>
      <w:r w:rsidRPr="00CB1FF3">
        <w:rPr>
          <w:rFonts w:ascii="Times New Roman" w:hAnsi="Times New Roman" w:cs="Times New Roman"/>
          <w:b/>
          <w:color w:val="2B6CB0"/>
          <w:sz w:val="24"/>
        </w:rPr>
        <w:t>3.2 End-to-End System Architecture Overview</w:t>
      </w:r>
    </w:p>
    <w:p w14:paraId="72B0135D"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The technical architecture of the platform is designed as an end-to-end, multi-tiered operational pipeline bridging global oceanic-atmospheric forcing to plot-level farmer action and regional policy response, as summarized below:</w:t>
      </w:r>
    </w:p>
    <w:tbl>
      <w:tblPr>
        <w:tblW w:w="0" w:type="auto"/>
        <w:jc w:val="center"/>
        <w:tblBorders>
          <w:top w:val="single" w:sz="6" w:space="0" w:color="CBD5E0"/>
          <w:bottom w:val="single" w:sz="6" w:space="0" w:color="CBD5E0"/>
          <w:insideH w:val="single" w:sz="4" w:space="0" w:color="CBD5E0"/>
        </w:tblBorders>
        <w:tblLook w:val="04A0" w:firstRow="1" w:lastRow="0" w:firstColumn="1" w:lastColumn="0" w:noHBand="0" w:noVBand="1"/>
      </w:tblPr>
      <w:tblGrid>
        <w:gridCol w:w="1728"/>
        <w:gridCol w:w="2304"/>
        <w:gridCol w:w="2736"/>
        <w:gridCol w:w="2592"/>
      </w:tblGrid>
      <w:tr w:rsidR="000D51DB" w:rsidRPr="00CB1FF3" w14:paraId="3642EE87" w14:textId="77777777">
        <w:trPr>
          <w:jc w:val="center"/>
        </w:trPr>
        <w:tc>
          <w:tcPr>
            <w:tcW w:w="1728" w:type="dxa"/>
            <w:shd w:val="clear" w:color="auto" w:fill="1A365D"/>
            <w:tcMar>
              <w:top w:w="120" w:type="dxa"/>
              <w:left w:w="150" w:type="dxa"/>
              <w:bottom w:w="120" w:type="dxa"/>
              <w:right w:w="150" w:type="dxa"/>
            </w:tcMar>
          </w:tcPr>
          <w:p w14:paraId="67E3D6FC"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b/>
                <w:color w:val="FFFFFF"/>
                <w:sz w:val="19"/>
              </w:rPr>
              <w:lastRenderedPageBreak/>
              <w:t>Operational Tier</w:t>
            </w:r>
          </w:p>
        </w:tc>
        <w:tc>
          <w:tcPr>
            <w:tcW w:w="2304" w:type="dxa"/>
            <w:shd w:val="clear" w:color="auto" w:fill="1A365D"/>
            <w:tcMar>
              <w:top w:w="120" w:type="dxa"/>
              <w:left w:w="150" w:type="dxa"/>
              <w:bottom w:w="120" w:type="dxa"/>
              <w:right w:w="150" w:type="dxa"/>
            </w:tcMar>
          </w:tcPr>
          <w:p w14:paraId="2ABB79A9"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b/>
                <w:color w:val="FFFFFF"/>
                <w:sz w:val="19"/>
              </w:rPr>
              <w:t>Functional Architecture</w:t>
            </w:r>
          </w:p>
        </w:tc>
        <w:tc>
          <w:tcPr>
            <w:tcW w:w="2736" w:type="dxa"/>
            <w:shd w:val="clear" w:color="auto" w:fill="1A365D"/>
            <w:tcMar>
              <w:top w:w="120" w:type="dxa"/>
              <w:left w:w="150" w:type="dxa"/>
              <w:bottom w:w="120" w:type="dxa"/>
              <w:right w:w="150" w:type="dxa"/>
            </w:tcMar>
          </w:tcPr>
          <w:p w14:paraId="75370263"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b/>
                <w:color w:val="FFFFFF"/>
                <w:sz w:val="19"/>
              </w:rPr>
              <w:t>Core Components &amp; Technologies</w:t>
            </w:r>
          </w:p>
        </w:tc>
        <w:tc>
          <w:tcPr>
            <w:tcW w:w="2592" w:type="dxa"/>
            <w:shd w:val="clear" w:color="auto" w:fill="1A365D"/>
            <w:tcMar>
              <w:top w:w="120" w:type="dxa"/>
              <w:left w:w="150" w:type="dxa"/>
              <w:bottom w:w="120" w:type="dxa"/>
              <w:right w:w="150" w:type="dxa"/>
            </w:tcMar>
          </w:tcPr>
          <w:p w14:paraId="5A63806E"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b/>
                <w:color w:val="FFFFFF"/>
                <w:sz w:val="19"/>
              </w:rPr>
              <w:t>Primary Data &amp; Process Outputs</w:t>
            </w:r>
          </w:p>
        </w:tc>
      </w:tr>
      <w:tr w:rsidR="000D51DB" w:rsidRPr="00CB1FF3" w14:paraId="606C6EA8" w14:textId="77777777">
        <w:trPr>
          <w:jc w:val="center"/>
        </w:trPr>
        <w:tc>
          <w:tcPr>
            <w:tcW w:w="1728" w:type="dxa"/>
            <w:shd w:val="clear" w:color="auto" w:fill="FFFFFF"/>
            <w:tcMar>
              <w:top w:w="100" w:type="dxa"/>
              <w:left w:w="150" w:type="dxa"/>
              <w:bottom w:w="100" w:type="dxa"/>
              <w:right w:w="150" w:type="dxa"/>
            </w:tcMar>
          </w:tcPr>
          <w:p w14:paraId="40C58078"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Tier 1: Data Ingestion</w:t>
            </w:r>
          </w:p>
        </w:tc>
        <w:tc>
          <w:tcPr>
            <w:tcW w:w="2304" w:type="dxa"/>
            <w:shd w:val="clear" w:color="auto" w:fill="FFFFFF"/>
            <w:tcMar>
              <w:top w:w="100" w:type="dxa"/>
              <w:left w:w="150" w:type="dxa"/>
              <w:bottom w:w="100" w:type="dxa"/>
              <w:right w:w="150" w:type="dxa"/>
            </w:tcMar>
          </w:tcPr>
          <w:p w14:paraId="73DE43BF"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Automated Zero-Credential Ingestion Pipeline</w:t>
            </w:r>
          </w:p>
        </w:tc>
        <w:tc>
          <w:tcPr>
            <w:tcW w:w="2736" w:type="dxa"/>
            <w:shd w:val="clear" w:color="auto" w:fill="FFFFFF"/>
            <w:tcMar>
              <w:top w:w="100" w:type="dxa"/>
              <w:left w:w="150" w:type="dxa"/>
              <w:bottom w:w="100" w:type="dxa"/>
              <w:right w:w="150" w:type="dxa"/>
            </w:tcMar>
          </w:tcPr>
          <w:p w14:paraId="30D9F385"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NOAA PSL, ECMWF Open-Meteo, CHIRPS, SMAP, MODIS, FAOSTAT, FEWS NET; SHA-256 Manifest Engine</w:t>
            </w:r>
          </w:p>
        </w:tc>
        <w:tc>
          <w:tcPr>
            <w:tcW w:w="2592" w:type="dxa"/>
            <w:shd w:val="clear" w:color="auto" w:fill="FFFFFF"/>
            <w:tcMar>
              <w:top w:w="100" w:type="dxa"/>
              <w:left w:w="150" w:type="dxa"/>
              <w:bottom w:w="100" w:type="dxa"/>
              <w:right w:w="150" w:type="dxa"/>
            </w:tcMar>
          </w:tcPr>
          <w:p w14:paraId="345FF5FB"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Raw multi-sensor archives with immutable cryptographic checksums in data/raw/</w:t>
            </w:r>
          </w:p>
        </w:tc>
      </w:tr>
      <w:tr w:rsidR="000D51DB" w:rsidRPr="00CB1FF3" w14:paraId="0A13AF21" w14:textId="77777777">
        <w:trPr>
          <w:jc w:val="center"/>
        </w:trPr>
        <w:tc>
          <w:tcPr>
            <w:tcW w:w="1728" w:type="dxa"/>
            <w:shd w:val="clear" w:color="auto" w:fill="F7FAFC"/>
            <w:tcMar>
              <w:top w:w="100" w:type="dxa"/>
              <w:left w:w="150" w:type="dxa"/>
              <w:bottom w:w="100" w:type="dxa"/>
              <w:right w:w="150" w:type="dxa"/>
            </w:tcMar>
          </w:tcPr>
          <w:p w14:paraId="3ADE0005"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Tier 2: Preprocessing</w:t>
            </w:r>
          </w:p>
        </w:tc>
        <w:tc>
          <w:tcPr>
            <w:tcW w:w="2304" w:type="dxa"/>
            <w:shd w:val="clear" w:color="auto" w:fill="F7FAFC"/>
            <w:tcMar>
              <w:top w:w="100" w:type="dxa"/>
              <w:left w:w="150" w:type="dxa"/>
              <w:bottom w:w="100" w:type="dxa"/>
              <w:right w:w="150" w:type="dxa"/>
            </w:tcMar>
          </w:tcPr>
          <w:p w14:paraId="71B38340"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Spatial Harmonization &amp; Feature Engineering</w:t>
            </w:r>
          </w:p>
        </w:tc>
        <w:tc>
          <w:tcPr>
            <w:tcW w:w="2736" w:type="dxa"/>
            <w:shd w:val="clear" w:color="auto" w:fill="F7FAFC"/>
            <w:tcMar>
              <w:top w:w="100" w:type="dxa"/>
              <w:left w:w="150" w:type="dxa"/>
              <w:bottom w:w="100" w:type="dxa"/>
              <w:right w:w="150" w:type="dxa"/>
            </w:tcMar>
          </w:tcPr>
          <w:p w14:paraId="0EBF1A60"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GDAL/Rasterio, GeoPandas, WGS84 Woreda Polygon Masking, 8×8 Catchment Grid, Sc-PDSI Climatology Engine</w:t>
            </w:r>
          </w:p>
        </w:tc>
        <w:tc>
          <w:tcPr>
            <w:tcW w:w="2592" w:type="dxa"/>
            <w:shd w:val="clear" w:color="auto" w:fill="F7FAFC"/>
            <w:tcMar>
              <w:top w:w="100" w:type="dxa"/>
              <w:left w:w="150" w:type="dxa"/>
              <w:bottom w:w="100" w:type="dxa"/>
              <w:right w:w="150" w:type="dxa"/>
            </w:tcMar>
          </w:tcPr>
          <w:p w14:paraId="54638C8C"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Master analytical Woreda × Month data cube, 30-year anomalies, multi-timescale SPI/VCI tensors</w:t>
            </w:r>
          </w:p>
        </w:tc>
      </w:tr>
      <w:tr w:rsidR="000D51DB" w:rsidRPr="00CB1FF3" w14:paraId="43A081AF" w14:textId="77777777">
        <w:trPr>
          <w:jc w:val="center"/>
        </w:trPr>
        <w:tc>
          <w:tcPr>
            <w:tcW w:w="1728" w:type="dxa"/>
            <w:shd w:val="clear" w:color="auto" w:fill="FFFFFF"/>
            <w:tcMar>
              <w:top w:w="100" w:type="dxa"/>
              <w:left w:w="150" w:type="dxa"/>
              <w:bottom w:w="100" w:type="dxa"/>
              <w:right w:w="150" w:type="dxa"/>
            </w:tcMar>
          </w:tcPr>
          <w:p w14:paraId="3032376B"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Tier 3: Super-Hybrid ML</w:t>
            </w:r>
          </w:p>
        </w:tc>
        <w:tc>
          <w:tcPr>
            <w:tcW w:w="2304" w:type="dxa"/>
            <w:shd w:val="clear" w:color="auto" w:fill="FFFFFF"/>
            <w:tcMar>
              <w:top w:w="100" w:type="dxa"/>
              <w:left w:w="150" w:type="dxa"/>
              <w:bottom w:w="100" w:type="dxa"/>
              <w:right w:w="150" w:type="dxa"/>
            </w:tcMar>
          </w:tcPr>
          <w:p w14:paraId="1184C0B7"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Multimodal Deep Learning Predictive Engine</w:t>
            </w:r>
          </w:p>
        </w:tc>
        <w:tc>
          <w:tcPr>
            <w:tcW w:w="2736" w:type="dxa"/>
            <w:shd w:val="clear" w:color="auto" w:fill="FFFFFF"/>
            <w:tcMar>
              <w:top w:w="100" w:type="dxa"/>
              <w:left w:w="150" w:type="dxa"/>
              <w:bottom w:w="100" w:type="dxa"/>
              <w:right w:w="150" w:type="dxa"/>
            </w:tcMar>
          </w:tcPr>
          <w:p w14:paraId="2CE1F2D7"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Conv1D-LSTM ENSO Forecaster + 2D-CNN Image Patch Encoder + LSTM Sequence Encoder + FFT + Gated Cross-Attention</w:t>
            </w:r>
          </w:p>
        </w:tc>
        <w:tc>
          <w:tcPr>
            <w:tcW w:w="2592" w:type="dxa"/>
            <w:shd w:val="clear" w:color="auto" w:fill="FFFFFF"/>
            <w:tcMar>
              <w:top w:w="100" w:type="dxa"/>
              <w:left w:w="150" w:type="dxa"/>
              <w:bottom w:w="100" w:type="dxa"/>
              <w:right w:w="150" w:type="dxa"/>
            </w:tcMar>
          </w:tcPr>
          <w:p w14:paraId="732DEB15"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Multi-task logits: Drought Probability P(SPI-3&lt;=-1), Crop Risk Index, IPC Food Insecurity Phase</w:t>
            </w:r>
          </w:p>
        </w:tc>
      </w:tr>
      <w:tr w:rsidR="000D51DB" w:rsidRPr="00CB1FF3" w14:paraId="5E2337A5" w14:textId="77777777">
        <w:trPr>
          <w:jc w:val="center"/>
        </w:trPr>
        <w:tc>
          <w:tcPr>
            <w:tcW w:w="1728" w:type="dxa"/>
            <w:shd w:val="clear" w:color="auto" w:fill="F7FAFC"/>
            <w:tcMar>
              <w:top w:w="100" w:type="dxa"/>
              <w:left w:w="150" w:type="dxa"/>
              <w:bottom w:w="100" w:type="dxa"/>
              <w:right w:w="150" w:type="dxa"/>
            </w:tcMar>
          </w:tcPr>
          <w:p w14:paraId="7F9BF68E"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Tier 4: Decision Support</w:t>
            </w:r>
          </w:p>
        </w:tc>
        <w:tc>
          <w:tcPr>
            <w:tcW w:w="2304" w:type="dxa"/>
            <w:shd w:val="clear" w:color="auto" w:fill="F7FAFC"/>
            <w:tcMar>
              <w:top w:w="100" w:type="dxa"/>
              <w:left w:w="150" w:type="dxa"/>
              <w:bottom w:w="100" w:type="dxa"/>
              <w:right w:w="150" w:type="dxa"/>
            </w:tcMar>
          </w:tcPr>
          <w:p w14:paraId="1D4E9994"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Prescriptive Advisory, IEK Consensus &amp; XAI</w:t>
            </w:r>
          </w:p>
        </w:tc>
        <w:tc>
          <w:tcPr>
            <w:tcW w:w="2736" w:type="dxa"/>
            <w:shd w:val="clear" w:color="auto" w:fill="F7FAFC"/>
            <w:tcMar>
              <w:top w:w="100" w:type="dxa"/>
              <w:left w:w="150" w:type="dxa"/>
              <w:bottom w:w="100" w:type="dxa"/>
              <w:right w:w="150" w:type="dxa"/>
            </w:tcMar>
          </w:tcPr>
          <w:p w14:paraId="6B667D22"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Crop Sensitivity Multipliers (s), 4-Tier Prescriptive Matrix, Bi-Directional IEK Engine, SHAP, Grad-CAM, Neo4j KG</w:t>
            </w:r>
          </w:p>
        </w:tc>
        <w:tc>
          <w:tcPr>
            <w:tcW w:w="2592" w:type="dxa"/>
            <w:shd w:val="clear" w:color="auto" w:fill="F7FAFC"/>
            <w:tcMar>
              <w:top w:w="100" w:type="dxa"/>
              <w:left w:w="150" w:type="dxa"/>
              <w:bottom w:w="100" w:type="dxa"/>
              <w:right w:w="150" w:type="dxa"/>
            </w:tcMar>
          </w:tcPr>
          <w:p w14:paraId="55DB6E4C"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Actionable farm-level advisories, traditional consensus flags, feature explanations, semantic graph queries</w:t>
            </w:r>
          </w:p>
        </w:tc>
      </w:tr>
      <w:tr w:rsidR="000D51DB" w:rsidRPr="00CB1FF3" w14:paraId="5F43AD3B" w14:textId="77777777">
        <w:trPr>
          <w:jc w:val="center"/>
        </w:trPr>
        <w:tc>
          <w:tcPr>
            <w:tcW w:w="1728" w:type="dxa"/>
            <w:shd w:val="clear" w:color="auto" w:fill="FFFFFF"/>
            <w:tcMar>
              <w:top w:w="100" w:type="dxa"/>
              <w:left w:w="150" w:type="dxa"/>
              <w:bottom w:w="100" w:type="dxa"/>
              <w:right w:w="150" w:type="dxa"/>
            </w:tcMar>
          </w:tcPr>
          <w:p w14:paraId="081A8D36"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Tier 5: Delivery Ecosystem</w:t>
            </w:r>
          </w:p>
        </w:tc>
        <w:tc>
          <w:tcPr>
            <w:tcW w:w="2304" w:type="dxa"/>
            <w:shd w:val="clear" w:color="auto" w:fill="FFFFFF"/>
            <w:tcMar>
              <w:top w:w="100" w:type="dxa"/>
              <w:left w:w="150" w:type="dxa"/>
              <w:bottom w:w="100" w:type="dxa"/>
              <w:right w:w="150" w:type="dxa"/>
            </w:tcMar>
          </w:tcPr>
          <w:p w14:paraId="7DA8030A"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Cloud-Native Multi-Tenant Enterprise Interface</w:t>
            </w:r>
          </w:p>
        </w:tc>
        <w:tc>
          <w:tcPr>
            <w:tcW w:w="2736" w:type="dxa"/>
            <w:shd w:val="clear" w:color="auto" w:fill="FFFFFF"/>
            <w:tcMar>
              <w:top w:w="100" w:type="dxa"/>
              <w:left w:w="150" w:type="dxa"/>
              <w:bottom w:w="100" w:type="dxa"/>
              <w:right w:w="150" w:type="dxa"/>
            </w:tcMar>
          </w:tcPr>
          <w:p w14:paraId="3189A034"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FastAPI Async API, PostgreSQL 17 Star Schema, Next.js 16 Web Command Centre, Trilingual Expo Mobile (EN/AM/OR)</w:t>
            </w:r>
          </w:p>
        </w:tc>
        <w:tc>
          <w:tcPr>
            <w:tcW w:w="2592" w:type="dxa"/>
            <w:shd w:val="clear" w:color="auto" w:fill="FFFFFF"/>
            <w:tcMar>
              <w:top w:w="100" w:type="dxa"/>
              <w:left w:w="150" w:type="dxa"/>
              <w:bottom w:w="100" w:type="dxa"/>
              <w:right w:w="150" w:type="dxa"/>
            </w:tcMar>
          </w:tcPr>
          <w:p w14:paraId="07D3B141"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Role-scoped web dashboards (/ministry, /farm), offline-first field app, Metabase BI analytics</w:t>
            </w:r>
          </w:p>
        </w:tc>
      </w:tr>
    </w:tbl>
    <w:p w14:paraId="42598720" w14:textId="77777777" w:rsidR="000D51DB" w:rsidRPr="00CB1FF3" w:rsidRDefault="00CB1FF3" w:rsidP="00CB1FF3">
      <w:pPr>
        <w:keepNext/>
        <w:spacing w:before="240" w:after="80"/>
        <w:jc w:val="both"/>
        <w:rPr>
          <w:rFonts w:ascii="Times New Roman" w:hAnsi="Times New Roman" w:cs="Times New Roman"/>
        </w:rPr>
      </w:pPr>
      <w:r w:rsidRPr="00CB1FF3">
        <w:rPr>
          <w:rFonts w:ascii="Times New Roman" w:hAnsi="Times New Roman" w:cs="Times New Roman"/>
          <w:b/>
          <w:color w:val="2B6CB0"/>
          <w:sz w:val="24"/>
        </w:rPr>
        <w:t>3.3 Multi-Source Data Ingestion Registry and Provenance Architecture</w:t>
      </w:r>
    </w:p>
    <w:p w14:paraId="7FA1B688"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To ensure complete scientific transparency, zero-credential reproducibility, and immutable data provenance, every raw dataset ingested into the pipeline is sourced from publicly accessible, internationally recognized scientific repositories requiring no commercial API tokens. Table 3.2 details the complete multi-source data registry:</w:t>
      </w:r>
    </w:p>
    <w:tbl>
      <w:tblPr>
        <w:tblW w:w="0" w:type="auto"/>
        <w:jc w:val="center"/>
        <w:tblBorders>
          <w:top w:val="single" w:sz="6" w:space="0" w:color="CBD5E0"/>
          <w:bottom w:val="single" w:sz="6" w:space="0" w:color="CBD5E0"/>
          <w:insideH w:val="single" w:sz="4" w:space="0" w:color="CBD5E0"/>
        </w:tblBorders>
        <w:tblLook w:val="04A0" w:firstRow="1" w:lastRow="0" w:firstColumn="1" w:lastColumn="0" w:noHBand="0" w:noVBand="1"/>
      </w:tblPr>
      <w:tblGrid>
        <w:gridCol w:w="1872"/>
        <w:gridCol w:w="2016"/>
        <w:gridCol w:w="1584"/>
        <w:gridCol w:w="1584"/>
        <w:gridCol w:w="2304"/>
      </w:tblGrid>
      <w:tr w:rsidR="000D51DB" w:rsidRPr="00CB1FF3" w14:paraId="7F4EE7F2" w14:textId="77777777">
        <w:trPr>
          <w:jc w:val="center"/>
        </w:trPr>
        <w:tc>
          <w:tcPr>
            <w:tcW w:w="1872" w:type="dxa"/>
            <w:shd w:val="clear" w:color="auto" w:fill="1A365D"/>
            <w:tcMar>
              <w:top w:w="120" w:type="dxa"/>
              <w:left w:w="150" w:type="dxa"/>
              <w:bottom w:w="120" w:type="dxa"/>
              <w:right w:w="150" w:type="dxa"/>
            </w:tcMar>
          </w:tcPr>
          <w:p w14:paraId="79E46C6C"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b/>
                <w:color w:val="FFFFFF"/>
                <w:sz w:val="19"/>
              </w:rPr>
              <w:t>Input Dataset</w:t>
            </w:r>
          </w:p>
        </w:tc>
        <w:tc>
          <w:tcPr>
            <w:tcW w:w="2016" w:type="dxa"/>
            <w:shd w:val="clear" w:color="auto" w:fill="1A365D"/>
            <w:tcMar>
              <w:top w:w="120" w:type="dxa"/>
              <w:left w:w="150" w:type="dxa"/>
              <w:bottom w:w="120" w:type="dxa"/>
              <w:right w:w="150" w:type="dxa"/>
            </w:tcMar>
          </w:tcPr>
          <w:p w14:paraId="4B207687"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b/>
                <w:color w:val="FFFFFF"/>
                <w:sz w:val="19"/>
              </w:rPr>
              <w:t>Primary Provider / Portal</w:t>
            </w:r>
          </w:p>
        </w:tc>
        <w:tc>
          <w:tcPr>
            <w:tcW w:w="1584" w:type="dxa"/>
            <w:shd w:val="clear" w:color="auto" w:fill="1A365D"/>
            <w:tcMar>
              <w:top w:w="120" w:type="dxa"/>
              <w:left w:w="150" w:type="dxa"/>
              <w:bottom w:w="120" w:type="dxa"/>
              <w:right w:w="150" w:type="dxa"/>
            </w:tcMar>
          </w:tcPr>
          <w:p w14:paraId="376FE64B"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b/>
                <w:color w:val="FFFFFF"/>
                <w:sz w:val="19"/>
              </w:rPr>
              <w:t>Spatial / Temporal Res.</w:t>
            </w:r>
          </w:p>
        </w:tc>
        <w:tc>
          <w:tcPr>
            <w:tcW w:w="1584" w:type="dxa"/>
            <w:shd w:val="clear" w:color="auto" w:fill="1A365D"/>
            <w:tcMar>
              <w:top w:w="120" w:type="dxa"/>
              <w:left w:w="150" w:type="dxa"/>
              <w:bottom w:w="120" w:type="dxa"/>
              <w:right w:w="150" w:type="dxa"/>
            </w:tcMar>
          </w:tcPr>
          <w:p w14:paraId="5AE2AF80"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b/>
                <w:color w:val="FFFFFF"/>
                <w:sz w:val="19"/>
              </w:rPr>
              <w:t>Temporal Coverage</w:t>
            </w:r>
          </w:p>
        </w:tc>
        <w:tc>
          <w:tcPr>
            <w:tcW w:w="2304" w:type="dxa"/>
            <w:shd w:val="clear" w:color="auto" w:fill="1A365D"/>
            <w:tcMar>
              <w:top w:w="120" w:type="dxa"/>
              <w:left w:w="150" w:type="dxa"/>
              <w:bottom w:w="120" w:type="dxa"/>
              <w:right w:w="150" w:type="dxa"/>
            </w:tcMar>
          </w:tcPr>
          <w:p w14:paraId="45739CB0"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b/>
                <w:color w:val="FFFFFF"/>
                <w:sz w:val="19"/>
              </w:rPr>
              <w:t>Specific Role in Modeling Continuum</w:t>
            </w:r>
          </w:p>
        </w:tc>
      </w:tr>
      <w:tr w:rsidR="000D51DB" w:rsidRPr="00CB1FF3" w14:paraId="2196C488" w14:textId="77777777">
        <w:trPr>
          <w:jc w:val="center"/>
        </w:trPr>
        <w:tc>
          <w:tcPr>
            <w:tcW w:w="1872" w:type="dxa"/>
            <w:shd w:val="clear" w:color="auto" w:fill="FFFFFF"/>
            <w:tcMar>
              <w:top w:w="100" w:type="dxa"/>
              <w:left w:w="150" w:type="dxa"/>
              <w:bottom w:w="100" w:type="dxa"/>
              <w:right w:w="150" w:type="dxa"/>
            </w:tcMar>
          </w:tcPr>
          <w:p w14:paraId="11253138"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Niño 3.4, 1+2, 4, SOI</w:t>
            </w:r>
          </w:p>
        </w:tc>
        <w:tc>
          <w:tcPr>
            <w:tcW w:w="2016" w:type="dxa"/>
            <w:shd w:val="clear" w:color="auto" w:fill="FFFFFF"/>
            <w:tcMar>
              <w:top w:w="100" w:type="dxa"/>
              <w:left w:w="150" w:type="dxa"/>
              <w:bottom w:w="100" w:type="dxa"/>
              <w:right w:w="150" w:type="dxa"/>
            </w:tcMar>
          </w:tcPr>
          <w:p w14:paraId="5ADDE006"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NOAA Physical Sciences Lab (ERSST v6)</w:t>
            </w:r>
          </w:p>
        </w:tc>
        <w:tc>
          <w:tcPr>
            <w:tcW w:w="1584" w:type="dxa"/>
            <w:shd w:val="clear" w:color="auto" w:fill="FFFFFF"/>
            <w:tcMar>
              <w:top w:w="100" w:type="dxa"/>
              <w:left w:w="150" w:type="dxa"/>
              <w:bottom w:w="100" w:type="dxa"/>
              <w:right w:w="150" w:type="dxa"/>
            </w:tcMar>
          </w:tcPr>
          <w:p w14:paraId="0CE8263E"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Equatorial Pacific / Monthly</w:t>
            </w:r>
          </w:p>
        </w:tc>
        <w:tc>
          <w:tcPr>
            <w:tcW w:w="1584" w:type="dxa"/>
            <w:shd w:val="clear" w:color="auto" w:fill="FFFFFF"/>
            <w:tcMar>
              <w:top w:w="100" w:type="dxa"/>
              <w:left w:w="150" w:type="dxa"/>
              <w:bottom w:w="100" w:type="dxa"/>
              <w:right w:w="150" w:type="dxa"/>
            </w:tcMar>
          </w:tcPr>
          <w:p w14:paraId="410FC6C1"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1990–2026</w:t>
            </w:r>
          </w:p>
        </w:tc>
        <w:tc>
          <w:tcPr>
            <w:tcW w:w="2304" w:type="dxa"/>
            <w:shd w:val="clear" w:color="auto" w:fill="FFFFFF"/>
            <w:tcMar>
              <w:top w:w="100" w:type="dxa"/>
              <w:left w:w="150" w:type="dxa"/>
              <w:bottom w:w="100" w:type="dxa"/>
              <w:right w:w="150" w:type="dxa"/>
            </w:tcMar>
          </w:tcPr>
          <w:p w14:paraId="1548B6BA"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Global oceanic-atmospheric forcing &amp; ENSO teleconnection modeling</w:t>
            </w:r>
          </w:p>
        </w:tc>
      </w:tr>
      <w:tr w:rsidR="000D51DB" w:rsidRPr="00CB1FF3" w14:paraId="6FB33A93" w14:textId="77777777">
        <w:trPr>
          <w:jc w:val="center"/>
        </w:trPr>
        <w:tc>
          <w:tcPr>
            <w:tcW w:w="1872" w:type="dxa"/>
            <w:shd w:val="clear" w:color="auto" w:fill="F7FAFC"/>
            <w:tcMar>
              <w:top w:w="100" w:type="dxa"/>
              <w:left w:w="150" w:type="dxa"/>
              <w:bottom w:w="100" w:type="dxa"/>
              <w:right w:w="150" w:type="dxa"/>
            </w:tcMar>
          </w:tcPr>
          <w:p w14:paraId="2FFE4968"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CHIRPS v3 Precipitation</w:t>
            </w:r>
          </w:p>
        </w:tc>
        <w:tc>
          <w:tcPr>
            <w:tcW w:w="2016" w:type="dxa"/>
            <w:shd w:val="clear" w:color="auto" w:fill="F7FAFC"/>
            <w:tcMar>
              <w:top w:w="100" w:type="dxa"/>
              <w:left w:w="150" w:type="dxa"/>
              <w:bottom w:w="100" w:type="dxa"/>
              <w:right w:w="150" w:type="dxa"/>
            </w:tcMar>
          </w:tcPr>
          <w:p w14:paraId="4952F6DE"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Climate Hazards Center (UCSB / SERVIR)</w:t>
            </w:r>
          </w:p>
        </w:tc>
        <w:tc>
          <w:tcPr>
            <w:tcW w:w="1584" w:type="dxa"/>
            <w:shd w:val="clear" w:color="auto" w:fill="F7FAFC"/>
            <w:tcMar>
              <w:top w:w="100" w:type="dxa"/>
              <w:left w:w="150" w:type="dxa"/>
              <w:bottom w:w="100" w:type="dxa"/>
              <w:right w:w="150" w:type="dxa"/>
            </w:tcMar>
          </w:tcPr>
          <w:p w14:paraId="0ED5858F"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0.05° (~5 km) / Daily &amp; Monthly</w:t>
            </w:r>
          </w:p>
        </w:tc>
        <w:tc>
          <w:tcPr>
            <w:tcW w:w="1584" w:type="dxa"/>
            <w:shd w:val="clear" w:color="auto" w:fill="F7FAFC"/>
            <w:tcMar>
              <w:top w:w="100" w:type="dxa"/>
              <w:left w:w="150" w:type="dxa"/>
              <w:bottom w:w="100" w:type="dxa"/>
              <w:right w:w="150" w:type="dxa"/>
            </w:tcMar>
          </w:tcPr>
          <w:p w14:paraId="3071696F"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1990–2026</w:t>
            </w:r>
          </w:p>
        </w:tc>
        <w:tc>
          <w:tcPr>
            <w:tcW w:w="2304" w:type="dxa"/>
            <w:shd w:val="clear" w:color="auto" w:fill="F7FAFC"/>
            <w:tcMar>
              <w:top w:w="100" w:type="dxa"/>
              <w:left w:w="150" w:type="dxa"/>
              <w:bottom w:w="100" w:type="dxa"/>
              <w:right w:w="150" w:type="dxa"/>
            </w:tcMar>
          </w:tcPr>
          <w:p w14:paraId="09E6A0CB"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Primary precipitation history, SPI-1/3/6 calculation, rainfall anomalies</w:t>
            </w:r>
          </w:p>
        </w:tc>
      </w:tr>
      <w:tr w:rsidR="000D51DB" w:rsidRPr="00CB1FF3" w14:paraId="09D5CF05" w14:textId="77777777">
        <w:trPr>
          <w:jc w:val="center"/>
        </w:trPr>
        <w:tc>
          <w:tcPr>
            <w:tcW w:w="1872" w:type="dxa"/>
            <w:shd w:val="clear" w:color="auto" w:fill="FFFFFF"/>
            <w:tcMar>
              <w:top w:w="100" w:type="dxa"/>
              <w:left w:w="150" w:type="dxa"/>
              <w:bottom w:w="100" w:type="dxa"/>
              <w:right w:w="150" w:type="dxa"/>
            </w:tcMar>
          </w:tcPr>
          <w:p w14:paraId="49DB0766"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lastRenderedPageBreak/>
              <w:t>NASA GPM IMERG V07</w:t>
            </w:r>
          </w:p>
        </w:tc>
        <w:tc>
          <w:tcPr>
            <w:tcW w:w="2016" w:type="dxa"/>
            <w:shd w:val="clear" w:color="auto" w:fill="FFFFFF"/>
            <w:tcMar>
              <w:top w:w="100" w:type="dxa"/>
              <w:left w:w="150" w:type="dxa"/>
              <w:bottom w:w="100" w:type="dxa"/>
              <w:right w:w="150" w:type="dxa"/>
            </w:tcMar>
          </w:tcPr>
          <w:p w14:paraId="72B7A067"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NASA GES DISC (3IMERGDF)</w:t>
            </w:r>
          </w:p>
        </w:tc>
        <w:tc>
          <w:tcPr>
            <w:tcW w:w="1584" w:type="dxa"/>
            <w:shd w:val="clear" w:color="auto" w:fill="FFFFFF"/>
            <w:tcMar>
              <w:top w:w="100" w:type="dxa"/>
              <w:left w:w="150" w:type="dxa"/>
              <w:bottom w:w="100" w:type="dxa"/>
              <w:right w:w="150" w:type="dxa"/>
            </w:tcMar>
          </w:tcPr>
          <w:p w14:paraId="09919325"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0.1° (~10 km) / Daily</w:t>
            </w:r>
          </w:p>
        </w:tc>
        <w:tc>
          <w:tcPr>
            <w:tcW w:w="1584" w:type="dxa"/>
            <w:shd w:val="clear" w:color="auto" w:fill="FFFFFF"/>
            <w:tcMar>
              <w:top w:w="100" w:type="dxa"/>
              <w:left w:w="150" w:type="dxa"/>
              <w:bottom w:w="100" w:type="dxa"/>
              <w:right w:w="150" w:type="dxa"/>
            </w:tcMar>
          </w:tcPr>
          <w:p w14:paraId="30C6B282"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2000–2026</w:t>
            </w:r>
          </w:p>
        </w:tc>
        <w:tc>
          <w:tcPr>
            <w:tcW w:w="2304" w:type="dxa"/>
            <w:shd w:val="clear" w:color="auto" w:fill="FFFFFF"/>
            <w:tcMar>
              <w:top w:w="100" w:type="dxa"/>
              <w:left w:w="150" w:type="dxa"/>
              <w:bottom w:w="100" w:type="dxa"/>
              <w:right w:w="150" w:type="dxa"/>
            </w:tcMar>
          </w:tcPr>
          <w:p w14:paraId="51BAE451"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Independent satellite precipitation validation &amp; near-real-time cross-checking</w:t>
            </w:r>
          </w:p>
        </w:tc>
      </w:tr>
      <w:tr w:rsidR="000D51DB" w:rsidRPr="00CB1FF3" w14:paraId="342E0709" w14:textId="77777777">
        <w:trPr>
          <w:jc w:val="center"/>
        </w:trPr>
        <w:tc>
          <w:tcPr>
            <w:tcW w:w="1872" w:type="dxa"/>
            <w:shd w:val="clear" w:color="auto" w:fill="F7FAFC"/>
            <w:tcMar>
              <w:top w:w="100" w:type="dxa"/>
              <w:left w:w="150" w:type="dxa"/>
              <w:bottom w:w="100" w:type="dxa"/>
              <w:right w:w="150" w:type="dxa"/>
            </w:tcMar>
          </w:tcPr>
          <w:p w14:paraId="6A73B341"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NASA SMAP L3 Moisture</w:t>
            </w:r>
          </w:p>
        </w:tc>
        <w:tc>
          <w:tcPr>
            <w:tcW w:w="2016" w:type="dxa"/>
            <w:shd w:val="clear" w:color="auto" w:fill="F7FAFC"/>
            <w:tcMar>
              <w:top w:w="100" w:type="dxa"/>
              <w:left w:w="150" w:type="dxa"/>
              <w:bottom w:w="100" w:type="dxa"/>
              <w:right w:w="150" w:type="dxa"/>
            </w:tcMar>
          </w:tcPr>
          <w:p w14:paraId="73B0A68B"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NASA NSIDC DAAC (SPL3SMP_E)</w:t>
            </w:r>
          </w:p>
        </w:tc>
        <w:tc>
          <w:tcPr>
            <w:tcW w:w="1584" w:type="dxa"/>
            <w:shd w:val="clear" w:color="auto" w:fill="F7FAFC"/>
            <w:tcMar>
              <w:top w:w="100" w:type="dxa"/>
              <w:left w:w="150" w:type="dxa"/>
              <w:bottom w:w="100" w:type="dxa"/>
              <w:right w:w="150" w:type="dxa"/>
            </w:tcMar>
          </w:tcPr>
          <w:p w14:paraId="5AF20BD8"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9 km EASE-Grid / Daily</w:t>
            </w:r>
          </w:p>
        </w:tc>
        <w:tc>
          <w:tcPr>
            <w:tcW w:w="1584" w:type="dxa"/>
            <w:shd w:val="clear" w:color="auto" w:fill="F7FAFC"/>
            <w:tcMar>
              <w:top w:w="100" w:type="dxa"/>
              <w:left w:w="150" w:type="dxa"/>
              <w:bottom w:w="100" w:type="dxa"/>
              <w:right w:w="150" w:type="dxa"/>
            </w:tcMar>
          </w:tcPr>
          <w:p w14:paraId="12BD464C"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2015–2026</w:t>
            </w:r>
          </w:p>
        </w:tc>
        <w:tc>
          <w:tcPr>
            <w:tcW w:w="2304" w:type="dxa"/>
            <w:shd w:val="clear" w:color="auto" w:fill="F7FAFC"/>
            <w:tcMar>
              <w:top w:w="100" w:type="dxa"/>
              <w:left w:w="150" w:type="dxa"/>
              <w:bottom w:w="100" w:type="dxa"/>
              <w:right w:w="150" w:type="dxa"/>
            </w:tcMar>
          </w:tcPr>
          <w:p w14:paraId="023E8983"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Root-zone and surface soil-moisture drawdown &amp; agricultural drought dynamics</w:t>
            </w:r>
          </w:p>
        </w:tc>
      </w:tr>
      <w:tr w:rsidR="000D51DB" w:rsidRPr="00CB1FF3" w14:paraId="24A202F5" w14:textId="77777777">
        <w:trPr>
          <w:jc w:val="center"/>
        </w:trPr>
        <w:tc>
          <w:tcPr>
            <w:tcW w:w="1872" w:type="dxa"/>
            <w:shd w:val="clear" w:color="auto" w:fill="FFFFFF"/>
            <w:tcMar>
              <w:top w:w="100" w:type="dxa"/>
              <w:left w:w="150" w:type="dxa"/>
              <w:bottom w:w="100" w:type="dxa"/>
              <w:right w:w="150" w:type="dxa"/>
            </w:tcMar>
          </w:tcPr>
          <w:p w14:paraId="64D0B0B2"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MODIS MOD13Q1 V6.1</w:t>
            </w:r>
          </w:p>
        </w:tc>
        <w:tc>
          <w:tcPr>
            <w:tcW w:w="2016" w:type="dxa"/>
            <w:shd w:val="clear" w:color="auto" w:fill="FFFFFF"/>
            <w:tcMar>
              <w:top w:w="100" w:type="dxa"/>
              <w:left w:w="150" w:type="dxa"/>
              <w:bottom w:w="100" w:type="dxa"/>
              <w:right w:w="150" w:type="dxa"/>
            </w:tcMar>
          </w:tcPr>
          <w:p w14:paraId="351797FF"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NASA LP DAAC / USGS Earthdata</w:t>
            </w:r>
          </w:p>
        </w:tc>
        <w:tc>
          <w:tcPr>
            <w:tcW w:w="1584" w:type="dxa"/>
            <w:shd w:val="clear" w:color="auto" w:fill="FFFFFF"/>
            <w:tcMar>
              <w:top w:w="100" w:type="dxa"/>
              <w:left w:w="150" w:type="dxa"/>
              <w:bottom w:w="100" w:type="dxa"/>
              <w:right w:w="150" w:type="dxa"/>
            </w:tcMar>
          </w:tcPr>
          <w:p w14:paraId="652EEAB9"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250 m / 16-Day Composite</w:t>
            </w:r>
          </w:p>
        </w:tc>
        <w:tc>
          <w:tcPr>
            <w:tcW w:w="1584" w:type="dxa"/>
            <w:shd w:val="clear" w:color="auto" w:fill="FFFFFF"/>
            <w:tcMar>
              <w:top w:w="100" w:type="dxa"/>
              <w:left w:w="150" w:type="dxa"/>
              <w:bottom w:w="100" w:type="dxa"/>
              <w:right w:w="150" w:type="dxa"/>
            </w:tcMar>
          </w:tcPr>
          <w:p w14:paraId="53EFBA49"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2000–2026</w:t>
            </w:r>
          </w:p>
        </w:tc>
        <w:tc>
          <w:tcPr>
            <w:tcW w:w="2304" w:type="dxa"/>
            <w:shd w:val="clear" w:color="auto" w:fill="FFFFFF"/>
            <w:tcMar>
              <w:top w:w="100" w:type="dxa"/>
              <w:left w:w="150" w:type="dxa"/>
              <w:bottom w:w="100" w:type="dxa"/>
              <w:right w:w="150" w:type="dxa"/>
            </w:tcMar>
          </w:tcPr>
          <w:p w14:paraId="2ECA5EC2"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Vegetation greenness (NDVI, EVI), VCI, crop phenological canopy stress</w:t>
            </w:r>
          </w:p>
        </w:tc>
      </w:tr>
      <w:tr w:rsidR="000D51DB" w:rsidRPr="00CB1FF3" w14:paraId="6F05824E" w14:textId="77777777">
        <w:trPr>
          <w:jc w:val="center"/>
        </w:trPr>
        <w:tc>
          <w:tcPr>
            <w:tcW w:w="1872" w:type="dxa"/>
            <w:shd w:val="clear" w:color="auto" w:fill="F7FAFC"/>
            <w:tcMar>
              <w:top w:w="100" w:type="dxa"/>
              <w:left w:w="150" w:type="dxa"/>
              <w:bottom w:w="100" w:type="dxa"/>
              <w:right w:w="150" w:type="dxa"/>
            </w:tcMar>
          </w:tcPr>
          <w:p w14:paraId="7658399B"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MODIS MOD11A2 V6.1</w:t>
            </w:r>
          </w:p>
        </w:tc>
        <w:tc>
          <w:tcPr>
            <w:tcW w:w="2016" w:type="dxa"/>
            <w:shd w:val="clear" w:color="auto" w:fill="F7FAFC"/>
            <w:tcMar>
              <w:top w:w="100" w:type="dxa"/>
              <w:left w:w="150" w:type="dxa"/>
              <w:bottom w:w="100" w:type="dxa"/>
              <w:right w:w="150" w:type="dxa"/>
            </w:tcMar>
          </w:tcPr>
          <w:p w14:paraId="31A6EFE3"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NASA LP DAAC / USGS Earthdata</w:t>
            </w:r>
          </w:p>
        </w:tc>
        <w:tc>
          <w:tcPr>
            <w:tcW w:w="1584" w:type="dxa"/>
            <w:shd w:val="clear" w:color="auto" w:fill="F7FAFC"/>
            <w:tcMar>
              <w:top w:w="100" w:type="dxa"/>
              <w:left w:w="150" w:type="dxa"/>
              <w:bottom w:w="100" w:type="dxa"/>
              <w:right w:w="150" w:type="dxa"/>
            </w:tcMar>
          </w:tcPr>
          <w:p w14:paraId="6C4DA59D"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1 km / 8-Day Composite</w:t>
            </w:r>
          </w:p>
        </w:tc>
        <w:tc>
          <w:tcPr>
            <w:tcW w:w="1584" w:type="dxa"/>
            <w:shd w:val="clear" w:color="auto" w:fill="F7FAFC"/>
            <w:tcMar>
              <w:top w:w="100" w:type="dxa"/>
              <w:left w:w="150" w:type="dxa"/>
              <w:bottom w:w="100" w:type="dxa"/>
              <w:right w:w="150" w:type="dxa"/>
            </w:tcMar>
          </w:tcPr>
          <w:p w14:paraId="79D7632E"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2000–2026</w:t>
            </w:r>
          </w:p>
        </w:tc>
        <w:tc>
          <w:tcPr>
            <w:tcW w:w="2304" w:type="dxa"/>
            <w:shd w:val="clear" w:color="auto" w:fill="F7FAFC"/>
            <w:tcMar>
              <w:top w:w="100" w:type="dxa"/>
              <w:left w:w="150" w:type="dxa"/>
              <w:bottom w:w="100" w:type="dxa"/>
              <w:right w:w="150" w:type="dxa"/>
            </w:tcMar>
          </w:tcPr>
          <w:p w14:paraId="5704D252"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Daytime &amp; nighttime Land Surface Temperature (LST), thermal stress anomalies</w:t>
            </w:r>
          </w:p>
        </w:tc>
      </w:tr>
      <w:tr w:rsidR="000D51DB" w:rsidRPr="00CB1FF3" w14:paraId="6CB36655" w14:textId="77777777">
        <w:trPr>
          <w:jc w:val="center"/>
        </w:trPr>
        <w:tc>
          <w:tcPr>
            <w:tcW w:w="1872" w:type="dxa"/>
            <w:shd w:val="clear" w:color="auto" w:fill="FFFFFF"/>
            <w:tcMar>
              <w:top w:w="100" w:type="dxa"/>
              <w:left w:w="150" w:type="dxa"/>
              <w:bottom w:w="100" w:type="dxa"/>
              <w:right w:w="150" w:type="dxa"/>
            </w:tcMar>
          </w:tcPr>
          <w:p w14:paraId="4164E777"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ERA5 Reanalysis</w:t>
            </w:r>
          </w:p>
        </w:tc>
        <w:tc>
          <w:tcPr>
            <w:tcW w:w="2016" w:type="dxa"/>
            <w:shd w:val="clear" w:color="auto" w:fill="FFFFFF"/>
            <w:tcMar>
              <w:top w:w="100" w:type="dxa"/>
              <w:left w:w="150" w:type="dxa"/>
              <w:bottom w:w="100" w:type="dxa"/>
              <w:right w:w="150" w:type="dxa"/>
            </w:tcMar>
          </w:tcPr>
          <w:p w14:paraId="5710A741"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ECMWF / Copernicus CDS / Open-Meteo</w:t>
            </w:r>
          </w:p>
        </w:tc>
        <w:tc>
          <w:tcPr>
            <w:tcW w:w="1584" w:type="dxa"/>
            <w:shd w:val="clear" w:color="auto" w:fill="FFFFFF"/>
            <w:tcMar>
              <w:top w:w="100" w:type="dxa"/>
              <w:left w:w="150" w:type="dxa"/>
              <w:bottom w:w="100" w:type="dxa"/>
              <w:right w:w="150" w:type="dxa"/>
            </w:tcMar>
          </w:tcPr>
          <w:p w14:paraId="34ED5F73"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0.25° (~31 km) / Daily &amp; Monthly</w:t>
            </w:r>
          </w:p>
        </w:tc>
        <w:tc>
          <w:tcPr>
            <w:tcW w:w="1584" w:type="dxa"/>
            <w:shd w:val="clear" w:color="auto" w:fill="FFFFFF"/>
            <w:tcMar>
              <w:top w:w="100" w:type="dxa"/>
              <w:left w:w="150" w:type="dxa"/>
              <w:bottom w:w="100" w:type="dxa"/>
              <w:right w:w="150" w:type="dxa"/>
            </w:tcMar>
          </w:tcPr>
          <w:p w14:paraId="11739BC4"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1990–2026</w:t>
            </w:r>
          </w:p>
        </w:tc>
        <w:tc>
          <w:tcPr>
            <w:tcW w:w="2304" w:type="dxa"/>
            <w:shd w:val="clear" w:color="auto" w:fill="FFFFFF"/>
            <w:tcMar>
              <w:top w:w="100" w:type="dxa"/>
              <w:left w:w="150" w:type="dxa"/>
              <w:bottom w:w="100" w:type="dxa"/>
              <w:right w:w="150" w:type="dxa"/>
            </w:tcMar>
          </w:tcPr>
          <w:p w14:paraId="1B2B71A4"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2 m temperature, potential evapotranspiration (PET), 10 m wind vectors (u, v)</w:t>
            </w:r>
          </w:p>
        </w:tc>
      </w:tr>
      <w:tr w:rsidR="000D51DB" w:rsidRPr="00CB1FF3" w14:paraId="2DF0720A" w14:textId="77777777">
        <w:trPr>
          <w:jc w:val="center"/>
        </w:trPr>
        <w:tc>
          <w:tcPr>
            <w:tcW w:w="1872" w:type="dxa"/>
            <w:shd w:val="clear" w:color="auto" w:fill="F7FAFC"/>
            <w:tcMar>
              <w:top w:w="100" w:type="dxa"/>
              <w:left w:w="150" w:type="dxa"/>
              <w:bottom w:w="100" w:type="dxa"/>
              <w:right w:w="150" w:type="dxa"/>
            </w:tcMar>
          </w:tcPr>
          <w:p w14:paraId="3969CF34"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SoilGrids Edaphic Data</w:t>
            </w:r>
          </w:p>
        </w:tc>
        <w:tc>
          <w:tcPr>
            <w:tcW w:w="2016" w:type="dxa"/>
            <w:shd w:val="clear" w:color="auto" w:fill="F7FAFC"/>
            <w:tcMar>
              <w:top w:w="100" w:type="dxa"/>
              <w:left w:w="150" w:type="dxa"/>
              <w:bottom w:w="100" w:type="dxa"/>
              <w:right w:w="150" w:type="dxa"/>
            </w:tcMar>
          </w:tcPr>
          <w:p w14:paraId="2B3ECF57"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ISRIC Global Soil Information</w:t>
            </w:r>
          </w:p>
        </w:tc>
        <w:tc>
          <w:tcPr>
            <w:tcW w:w="1584" w:type="dxa"/>
            <w:shd w:val="clear" w:color="auto" w:fill="F7FAFC"/>
            <w:tcMar>
              <w:top w:w="100" w:type="dxa"/>
              <w:left w:w="150" w:type="dxa"/>
              <w:bottom w:w="100" w:type="dxa"/>
              <w:right w:w="150" w:type="dxa"/>
            </w:tcMar>
          </w:tcPr>
          <w:p w14:paraId="23A50118"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250 m / Static Spatial Grid</w:t>
            </w:r>
          </w:p>
        </w:tc>
        <w:tc>
          <w:tcPr>
            <w:tcW w:w="1584" w:type="dxa"/>
            <w:shd w:val="clear" w:color="auto" w:fill="F7FAFC"/>
            <w:tcMar>
              <w:top w:w="100" w:type="dxa"/>
              <w:left w:w="150" w:type="dxa"/>
              <w:bottom w:w="100" w:type="dxa"/>
              <w:right w:w="150" w:type="dxa"/>
            </w:tcMar>
          </w:tcPr>
          <w:p w14:paraId="0C27A9F2"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Static Baseline</w:t>
            </w:r>
          </w:p>
        </w:tc>
        <w:tc>
          <w:tcPr>
            <w:tcW w:w="2304" w:type="dxa"/>
            <w:shd w:val="clear" w:color="auto" w:fill="F7FAFC"/>
            <w:tcMar>
              <w:top w:w="100" w:type="dxa"/>
              <w:left w:w="150" w:type="dxa"/>
              <w:bottom w:w="100" w:type="dxa"/>
              <w:right w:w="150" w:type="dxa"/>
            </w:tcMar>
          </w:tcPr>
          <w:p w14:paraId="68AF738A"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Soil water capacity (AWC), texture, clay %, organic carbon (SOC), pH</w:t>
            </w:r>
          </w:p>
        </w:tc>
      </w:tr>
      <w:tr w:rsidR="000D51DB" w:rsidRPr="00CB1FF3" w14:paraId="610DA70D" w14:textId="77777777">
        <w:trPr>
          <w:jc w:val="center"/>
        </w:trPr>
        <w:tc>
          <w:tcPr>
            <w:tcW w:w="1872" w:type="dxa"/>
            <w:shd w:val="clear" w:color="auto" w:fill="FFFFFF"/>
            <w:tcMar>
              <w:top w:w="100" w:type="dxa"/>
              <w:left w:w="150" w:type="dxa"/>
              <w:bottom w:w="100" w:type="dxa"/>
              <w:right w:w="150" w:type="dxa"/>
            </w:tcMar>
          </w:tcPr>
          <w:p w14:paraId="7C53BB9A"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WorldPop Demographics</w:t>
            </w:r>
          </w:p>
        </w:tc>
        <w:tc>
          <w:tcPr>
            <w:tcW w:w="2016" w:type="dxa"/>
            <w:shd w:val="clear" w:color="auto" w:fill="FFFFFF"/>
            <w:tcMar>
              <w:top w:w="100" w:type="dxa"/>
              <w:left w:w="150" w:type="dxa"/>
              <w:bottom w:w="100" w:type="dxa"/>
              <w:right w:w="150" w:type="dxa"/>
            </w:tcMar>
          </w:tcPr>
          <w:p w14:paraId="3350F836"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WorldPop / University of Southampton</w:t>
            </w:r>
          </w:p>
        </w:tc>
        <w:tc>
          <w:tcPr>
            <w:tcW w:w="1584" w:type="dxa"/>
            <w:shd w:val="clear" w:color="auto" w:fill="FFFFFF"/>
            <w:tcMar>
              <w:top w:w="100" w:type="dxa"/>
              <w:left w:w="150" w:type="dxa"/>
              <w:bottom w:w="100" w:type="dxa"/>
              <w:right w:w="150" w:type="dxa"/>
            </w:tcMar>
          </w:tcPr>
          <w:p w14:paraId="444EED6F"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100 m / Annual Grid</w:t>
            </w:r>
          </w:p>
        </w:tc>
        <w:tc>
          <w:tcPr>
            <w:tcW w:w="1584" w:type="dxa"/>
            <w:shd w:val="clear" w:color="auto" w:fill="FFFFFF"/>
            <w:tcMar>
              <w:top w:w="100" w:type="dxa"/>
              <w:left w:w="150" w:type="dxa"/>
              <w:bottom w:w="100" w:type="dxa"/>
              <w:right w:w="150" w:type="dxa"/>
            </w:tcMar>
          </w:tcPr>
          <w:p w14:paraId="22F78F8C"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2015–2026</w:t>
            </w:r>
          </w:p>
        </w:tc>
        <w:tc>
          <w:tcPr>
            <w:tcW w:w="2304" w:type="dxa"/>
            <w:shd w:val="clear" w:color="auto" w:fill="FFFFFF"/>
            <w:tcMar>
              <w:top w:w="100" w:type="dxa"/>
              <w:left w:w="150" w:type="dxa"/>
              <w:bottom w:w="100" w:type="dxa"/>
              <w:right w:w="150" w:type="dxa"/>
            </w:tcMar>
          </w:tcPr>
          <w:p w14:paraId="0E4AA7A2"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Woreda-level population density, human exposure, and demographic vulnerability</w:t>
            </w:r>
          </w:p>
        </w:tc>
      </w:tr>
      <w:tr w:rsidR="000D51DB" w:rsidRPr="00CB1FF3" w14:paraId="2370294D" w14:textId="77777777">
        <w:trPr>
          <w:jc w:val="center"/>
        </w:trPr>
        <w:tc>
          <w:tcPr>
            <w:tcW w:w="1872" w:type="dxa"/>
            <w:shd w:val="clear" w:color="auto" w:fill="F7FAFC"/>
            <w:tcMar>
              <w:top w:w="100" w:type="dxa"/>
              <w:left w:w="150" w:type="dxa"/>
              <w:bottom w:w="100" w:type="dxa"/>
              <w:right w:w="150" w:type="dxa"/>
            </w:tcMar>
          </w:tcPr>
          <w:p w14:paraId="63CE7636"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Agricultural Statistics</w:t>
            </w:r>
          </w:p>
        </w:tc>
        <w:tc>
          <w:tcPr>
            <w:tcW w:w="2016" w:type="dxa"/>
            <w:shd w:val="clear" w:color="auto" w:fill="F7FAFC"/>
            <w:tcMar>
              <w:top w:w="100" w:type="dxa"/>
              <w:left w:w="150" w:type="dxa"/>
              <w:bottom w:w="100" w:type="dxa"/>
              <w:right w:w="150" w:type="dxa"/>
            </w:tcMar>
          </w:tcPr>
          <w:p w14:paraId="0299E351"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Central Statistical Agency (CSA/ESS)</w:t>
            </w:r>
          </w:p>
        </w:tc>
        <w:tc>
          <w:tcPr>
            <w:tcW w:w="1584" w:type="dxa"/>
            <w:shd w:val="clear" w:color="auto" w:fill="F7FAFC"/>
            <w:tcMar>
              <w:top w:w="100" w:type="dxa"/>
              <w:left w:w="150" w:type="dxa"/>
              <w:bottom w:w="100" w:type="dxa"/>
              <w:right w:w="150" w:type="dxa"/>
            </w:tcMar>
          </w:tcPr>
          <w:p w14:paraId="64B24AE7"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Woreda-Zone / Annual</w:t>
            </w:r>
          </w:p>
        </w:tc>
        <w:tc>
          <w:tcPr>
            <w:tcW w:w="1584" w:type="dxa"/>
            <w:shd w:val="clear" w:color="auto" w:fill="F7FAFC"/>
            <w:tcMar>
              <w:top w:w="100" w:type="dxa"/>
              <w:left w:w="150" w:type="dxa"/>
              <w:bottom w:w="100" w:type="dxa"/>
              <w:right w:w="150" w:type="dxa"/>
            </w:tcMar>
          </w:tcPr>
          <w:p w14:paraId="26F06DC4"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2015–2026</w:t>
            </w:r>
          </w:p>
        </w:tc>
        <w:tc>
          <w:tcPr>
            <w:tcW w:w="2304" w:type="dxa"/>
            <w:shd w:val="clear" w:color="auto" w:fill="F7FAFC"/>
            <w:tcMar>
              <w:top w:w="100" w:type="dxa"/>
              <w:left w:w="150" w:type="dxa"/>
              <w:bottom w:w="100" w:type="dxa"/>
              <w:right w:w="150" w:type="dxa"/>
            </w:tcMar>
          </w:tcPr>
          <w:p w14:paraId="70AFCD9E"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Cultivated area, crop production, crop yield baselines for staple cereals</w:t>
            </w:r>
          </w:p>
        </w:tc>
      </w:tr>
      <w:tr w:rsidR="000D51DB" w:rsidRPr="00CB1FF3" w14:paraId="1E7735C1" w14:textId="77777777">
        <w:trPr>
          <w:jc w:val="center"/>
        </w:trPr>
        <w:tc>
          <w:tcPr>
            <w:tcW w:w="1872" w:type="dxa"/>
            <w:shd w:val="clear" w:color="auto" w:fill="FFFFFF"/>
            <w:tcMar>
              <w:top w:w="100" w:type="dxa"/>
              <w:left w:w="150" w:type="dxa"/>
              <w:bottom w:w="100" w:type="dxa"/>
              <w:right w:w="150" w:type="dxa"/>
            </w:tcMar>
          </w:tcPr>
          <w:p w14:paraId="20ED2F0A"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FEWS NET IPC Classifications</w:t>
            </w:r>
          </w:p>
        </w:tc>
        <w:tc>
          <w:tcPr>
            <w:tcW w:w="2016" w:type="dxa"/>
            <w:shd w:val="clear" w:color="auto" w:fill="FFFFFF"/>
            <w:tcMar>
              <w:top w:w="100" w:type="dxa"/>
              <w:left w:w="150" w:type="dxa"/>
              <w:bottom w:w="100" w:type="dxa"/>
              <w:right w:w="150" w:type="dxa"/>
            </w:tcMar>
          </w:tcPr>
          <w:p w14:paraId="463251B9"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FEWS NET Data Explorer / IPC Global</w:t>
            </w:r>
          </w:p>
        </w:tc>
        <w:tc>
          <w:tcPr>
            <w:tcW w:w="1584" w:type="dxa"/>
            <w:shd w:val="clear" w:color="auto" w:fill="FFFFFF"/>
            <w:tcMar>
              <w:top w:w="100" w:type="dxa"/>
              <w:left w:w="150" w:type="dxa"/>
              <w:bottom w:w="100" w:type="dxa"/>
              <w:right w:w="150" w:type="dxa"/>
            </w:tcMar>
          </w:tcPr>
          <w:p w14:paraId="1375FDCD"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Livelihood Zone / Woreda / Quarterly</w:t>
            </w:r>
          </w:p>
        </w:tc>
        <w:tc>
          <w:tcPr>
            <w:tcW w:w="1584" w:type="dxa"/>
            <w:shd w:val="clear" w:color="auto" w:fill="FFFFFF"/>
            <w:tcMar>
              <w:top w:w="100" w:type="dxa"/>
              <w:left w:w="150" w:type="dxa"/>
              <w:bottom w:w="100" w:type="dxa"/>
              <w:right w:w="150" w:type="dxa"/>
            </w:tcMar>
          </w:tcPr>
          <w:p w14:paraId="309661EA"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2015–2026</w:t>
            </w:r>
          </w:p>
        </w:tc>
        <w:tc>
          <w:tcPr>
            <w:tcW w:w="2304" w:type="dxa"/>
            <w:shd w:val="clear" w:color="auto" w:fill="FFFFFF"/>
            <w:tcMar>
              <w:top w:w="100" w:type="dxa"/>
              <w:left w:w="150" w:type="dxa"/>
              <w:bottom w:w="100" w:type="dxa"/>
              <w:right w:w="150" w:type="dxa"/>
            </w:tcMar>
          </w:tcPr>
          <w:p w14:paraId="14370994"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Supervised acute food insecurity targets: IPC Phase 1 (Minimal) to Phase 5 (Famine)</w:t>
            </w:r>
          </w:p>
        </w:tc>
      </w:tr>
    </w:tbl>
    <w:p w14:paraId="5E55EF6C" w14:textId="77777777" w:rsidR="000D51DB" w:rsidRPr="00CB1FF3" w:rsidRDefault="00CB1FF3" w:rsidP="00CB1FF3">
      <w:pPr>
        <w:keepNext/>
        <w:spacing w:before="160" w:after="60"/>
        <w:jc w:val="both"/>
        <w:rPr>
          <w:rFonts w:ascii="Times New Roman" w:hAnsi="Times New Roman" w:cs="Times New Roman"/>
        </w:rPr>
      </w:pPr>
      <w:r w:rsidRPr="00CB1FF3">
        <w:rPr>
          <w:rFonts w:ascii="Times New Roman" w:hAnsi="Times New Roman" w:cs="Times New Roman"/>
          <w:b/>
          <w:color w:val="2D3748"/>
        </w:rPr>
        <w:t>3.3.1 Cryptographic Data Integrity and Provenance Manifests</w:t>
      </w:r>
    </w:p>
    <w:p w14:paraId="21CEF8EC"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 xml:space="preserve">A critical hazard in machine learning research is the inadvertent contamination of real meteorological forecasts with synthetic demonstration fixtures or uncalibrated mock records. AgriMinds enforces a strict cryptographic manifest system (data/raw/manifests/dataset.json). Whenever 'make ingest' or 'ai-drews ingest all' executes, each connector downloads the verified public archives, computes SHA-256 cryptographic checksums, logs exact URL endpoints, record counts, and timestamps. At runtime, the inference engine inspects dataset.json: if </w:t>
      </w:r>
      <w:r w:rsidRPr="00CB1FF3">
        <w:rPr>
          <w:rFonts w:ascii="Times New Roman" w:hAnsi="Times New Roman" w:cs="Times New Roman"/>
          <w:color w:val="2D3748"/>
          <w:sz w:val="21"/>
        </w:rPr>
        <w:lastRenderedPageBreak/>
        <w:t>the manifest is absent or contains synthetic mock flags, all API payloads and UI views strictly append 'provenance: { data_source: synthetic, status: demonstration }' and display warning banners. Only when verified observational records are present does the system issue official early warning bulletins.</w:t>
      </w:r>
    </w:p>
    <w:p w14:paraId="1C3044C9" w14:textId="77777777" w:rsidR="000D51DB" w:rsidRPr="00CB1FF3" w:rsidRDefault="00CB1FF3" w:rsidP="00CB1FF3">
      <w:pPr>
        <w:keepNext/>
        <w:spacing w:before="240" w:after="80"/>
        <w:jc w:val="both"/>
        <w:rPr>
          <w:rFonts w:ascii="Times New Roman" w:hAnsi="Times New Roman" w:cs="Times New Roman"/>
        </w:rPr>
      </w:pPr>
      <w:r w:rsidRPr="00CB1FF3">
        <w:rPr>
          <w:rFonts w:ascii="Times New Roman" w:hAnsi="Times New Roman" w:cs="Times New Roman"/>
          <w:b/>
          <w:color w:val="2B6CB0"/>
          <w:sz w:val="24"/>
        </w:rPr>
        <w:t>3.4 Spatial-Temporal Harmonization and Feature Engineering</w:t>
      </w:r>
    </w:p>
    <w:p w14:paraId="02CB9EB3"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Data harmonization transforms heterogeneous raw formats (NetCDF4, GeoTIFF, HDF5, CSV, and Shapefiles) into an aligned spatiotemporal data cube structured as Woreda × Month:</w:t>
      </w:r>
    </w:p>
    <w:p w14:paraId="5893FE09"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Spatial Alignment &amp; Patch Extraction: </w:t>
      </w:r>
      <w:r w:rsidRPr="00CB1FF3">
        <w:rPr>
          <w:rFonts w:ascii="Times New Roman" w:hAnsi="Times New Roman" w:cs="Times New Roman"/>
          <w:color w:val="2D3748"/>
          <w:sz w:val="21"/>
        </w:rPr>
        <w:t>All spatial rasters are reprojected to the standard WGS84 geographic coordinate reference system (EPSG:4326). Using authoritative administrative polygons from the Ethiopian Statistical Service and FEWS NET, zonal statistics (mean, median, standard deviation, 10th and 90th percentiles) are extracted for each woreda polygon. For spatial deep learning branches, standardized 32×32 pixel multi-spectral image patches centered over each woreda centroid are sliced from 250 m MODIS grids.</w:t>
      </w:r>
    </w:p>
    <w:p w14:paraId="40858447"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Temporal Resampling &amp; Lag Generation: </w:t>
      </w:r>
      <w:r w:rsidRPr="00CB1FF3">
        <w:rPr>
          <w:rFonts w:ascii="Times New Roman" w:hAnsi="Times New Roman" w:cs="Times New Roman"/>
          <w:color w:val="2D3748"/>
          <w:sz w:val="21"/>
        </w:rPr>
        <w:t>Sub-monthly observations (daily CHIRPS/GPM, 8-day LST, 16-day NDVI) are aggregated into uniform monthly calendar windows and standard 10-day dekadal intervals. Temporal lags spanning 1, 2, 3, and 6 months are generated strictly using historical observations available prior to the prediction timestamp t to prevent look-ahead bias.</w:t>
      </w:r>
    </w:p>
    <w:p w14:paraId="5D305C93"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Anomaly Normalization: </w:t>
      </w:r>
      <w:r w:rsidRPr="00CB1FF3">
        <w:rPr>
          <w:rFonts w:ascii="Times New Roman" w:hAnsi="Times New Roman" w:cs="Times New Roman"/>
          <w:color w:val="2D3748"/>
          <w:sz w:val="21"/>
        </w:rPr>
        <w:t>Climatological normals are computed for each calendar month across the 30-year baseline (1990–2020). Standardized anomalies are derived as: Anomaly_{m,t} = [X_{m,t} - μ_{m}] / σ_{m}, where μ and σ represent the long-term monthly mean and standard deviation.</w:t>
      </w:r>
    </w:p>
    <w:p w14:paraId="235C69DE" w14:textId="77777777" w:rsidR="000D51DB" w:rsidRPr="00CB1FF3" w:rsidRDefault="00CB1FF3" w:rsidP="00CB1FF3">
      <w:pPr>
        <w:keepNext/>
        <w:spacing w:before="240" w:after="80"/>
        <w:jc w:val="both"/>
        <w:rPr>
          <w:rFonts w:ascii="Times New Roman" w:hAnsi="Times New Roman" w:cs="Times New Roman"/>
        </w:rPr>
      </w:pPr>
      <w:r w:rsidRPr="00CB1FF3">
        <w:rPr>
          <w:rFonts w:ascii="Times New Roman" w:hAnsi="Times New Roman" w:cs="Times New Roman"/>
          <w:b/>
          <w:color w:val="2B6CB0"/>
          <w:sz w:val="24"/>
        </w:rPr>
        <w:t>3.5 Proposed Super-Hybrid Multimodal Deep Learning Architecture</w:t>
      </w:r>
    </w:p>
    <w:p w14:paraId="2B5623CB"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The computational intelligence of the proposed early warning system is organized around two tightly coupled neural frameworks: (1) an antecedent Conv1D-LSTM ENSO Forecaster, and (2) a Super-Hybrid Multimodal Deep Learning Model featuring specialized modality encoders and a Gated Cross-Attention Fusion Engine, as detailed below:</w:t>
      </w:r>
    </w:p>
    <w:p w14:paraId="22A7FACA" w14:textId="77777777" w:rsidR="000D51DB" w:rsidRPr="00CB1FF3" w:rsidRDefault="00CB1FF3" w:rsidP="00CB1FF3">
      <w:pPr>
        <w:keepNext/>
        <w:spacing w:before="160" w:after="60"/>
        <w:jc w:val="both"/>
        <w:rPr>
          <w:rFonts w:ascii="Times New Roman" w:hAnsi="Times New Roman" w:cs="Times New Roman"/>
        </w:rPr>
      </w:pPr>
      <w:r w:rsidRPr="00CB1FF3">
        <w:rPr>
          <w:rFonts w:ascii="Times New Roman" w:hAnsi="Times New Roman" w:cs="Times New Roman"/>
          <w:b/>
          <w:color w:val="2D3748"/>
        </w:rPr>
        <w:t>3.5.1 Objective 1: Conv1D-LSTM ENSO Teleconnection Forecaster</w:t>
      </w:r>
    </w:p>
    <w:p w14:paraId="214CDB45"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Objective 1 forecasts equatorial Pacific Niño 3.4 sea surface temperature anomalies across 1 to 12 forward leads (L=12) from a 12-month antecedent sequence of four monthly Pacific climate indices: X in R^{B x 12 x 4}, where x_t = [Niño 3.4, Niño 1+2, Niño 4, SOI]^T. The architecture comprises:</w:t>
      </w:r>
    </w:p>
    <w:p w14:paraId="1C84AF46"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color w:val="2D3748"/>
          <w:sz w:val="21"/>
        </w:rPr>
        <w:t>Two 1D Convolutional layers (Conv1D) with 32 filters, kernel size = 3, stride = 1, padding = 1, followed by ReLU activation and Batch Normalization. These layers extract short-term ocean-atmosphere momentum and rate-of-change dynamics across the sequence.</w:t>
      </w:r>
    </w:p>
    <w:p w14:paraId="2944D5AA"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color w:val="2D3748"/>
          <w:sz w:val="21"/>
        </w:rPr>
        <w:t>A recurrent LSTM layer with 64 hidden units that processes the 12-step feature map sequence, capturing lagged multi-month oceanic memory and thermodynamic heat content buildup.</w:t>
      </w:r>
    </w:p>
    <w:p w14:paraId="50C5AE4D"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color w:val="2D3748"/>
          <w:sz w:val="21"/>
        </w:rPr>
        <w:t>A dense multi-layer perceptron projection head (Dense(64 -&gt; 32) -&gt; ReLU -&gt; Dropout(0.2) -&gt; Dense(32 -&gt; L)) emitting predicted Niño 3.4 anomalies y_hat in R^L across forward forecast leads 1 to 12.</w:t>
      </w:r>
    </w:p>
    <w:p w14:paraId="4ABCAE1E" w14:textId="77777777" w:rsidR="000D51DB" w:rsidRPr="00CB1FF3" w:rsidRDefault="00CB1FF3" w:rsidP="00CB1FF3">
      <w:pPr>
        <w:keepNext/>
        <w:spacing w:before="160" w:after="60"/>
        <w:jc w:val="both"/>
        <w:rPr>
          <w:rFonts w:ascii="Times New Roman" w:hAnsi="Times New Roman" w:cs="Times New Roman"/>
        </w:rPr>
      </w:pPr>
      <w:r w:rsidRPr="00CB1FF3">
        <w:rPr>
          <w:rFonts w:ascii="Times New Roman" w:hAnsi="Times New Roman" w:cs="Times New Roman"/>
          <w:b/>
          <w:color w:val="2D3748"/>
        </w:rPr>
        <w:t>3.5.2 Objective 2: Super-Hybrid Multimodal Early Warning Model</w:t>
      </w:r>
    </w:p>
    <w:p w14:paraId="43708F30"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The localized prediction model processes five complementary branches that simultaneously capture spatial gradients, temporal memory, periodic harmonics, and structured vulnerability:</w:t>
      </w:r>
    </w:p>
    <w:p w14:paraId="5031F98E"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1. Spatial Visual Branch (Xs in R^{B x C x H x W}): </w:t>
      </w:r>
      <w:r w:rsidRPr="00CB1FF3">
        <w:rPr>
          <w:rFonts w:ascii="Times New Roman" w:hAnsi="Times New Roman" w:cs="Times New Roman"/>
          <w:color w:val="2D3748"/>
          <w:sz w:val="21"/>
        </w:rPr>
        <w:t xml:space="preserve">Receives standardized 4-channel spatial raster patches (MODIS NDVI, EVI, Daytime LST, Nighttime LST) centered over the target woreda. Built upon </w:t>
      </w:r>
      <w:r w:rsidRPr="00CB1FF3">
        <w:rPr>
          <w:rFonts w:ascii="Times New Roman" w:hAnsi="Times New Roman" w:cs="Times New Roman"/>
          <w:color w:val="2D3748"/>
          <w:sz w:val="21"/>
        </w:rPr>
        <w:lastRenderedPageBreak/>
        <w:t>a modified ResNet-50 backbone with the classification head removed, outputting a 64-dimensional spatial embedding vector e_spatial.</w:t>
      </w:r>
    </w:p>
    <w:p w14:paraId="283FA39D"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2. Recurrent Temporal Branch (Xt in R^{B x T x F_t}): </w:t>
      </w:r>
      <w:r w:rsidRPr="00CB1FF3">
        <w:rPr>
          <w:rFonts w:ascii="Times New Roman" w:hAnsi="Times New Roman" w:cs="Times New Roman"/>
          <w:color w:val="2D3748"/>
          <w:sz w:val="21"/>
        </w:rPr>
        <w:t>Processes multi-month sequential time series (T=12 antecedent months) of basin hydro-climatic variables: CHIRPS precipitation, SMAP surface soil moisture, ERA5 2 m temperature, and 10 m wind vector components (u, v). An LSTM network (hidden dimension = 64) recursively models the sequence, emitting the final hidden state h_last as a 64-dimensional temporal embedding vector e_temporal.</w:t>
      </w:r>
    </w:p>
    <w:p w14:paraId="2C748E82"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3. Periodic / Harmonic Spectral Branch (Xp in R^{B x F_p}): </w:t>
      </w:r>
      <w:r w:rsidRPr="00CB1FF3">
        <w:rPr>
          <w:rFonts w:ascii="Times New Roman" w:hAnsi="Times New Roman" w:cs="Times New Roman"/>
          <w:color w:val="2D3748"/>
          <w:sz w:val="21"/>
        </w:rPr>
        <w:t>Applies a Fast Fourier Transform (FFT) across multi-year monthly precipitation and temperature series to extract dominant spectral amplitudes and phases. A linear layer (Linear(F_p -&gt; 32) -&gt; ReLU) projects the top Fourier frequencies into a 32-dimensional harmonic embedding e_periodic, encoding seasonal cycles and bi-annual Belg/Kiremt transitions.</w:t>
      </w:r>
    </w:p>
    <w:p w14:paraId="0E8BEE37"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4. Structured Tabular Branch (Xd in R^{B x F_tab}): </w:t>
      </w:r>
      <w:r w:rsidRPr="00CB1FF3">
        <w:rPr>
          <w:rFonts w:ascii="Times New Roman" w:hAnsi="Times New Roman" w:cs="Times New Roman"/>
          <w:color w:val="2D3748"/>
          <w:sz w:val="21"/>
        </w:rPr>
        <w:t>Ingests structured tabular features, including agricultural production statistics (crop area, historical yield baseline), demographic density (WorldPop), and static soil edaphic properties (SoilGrids AWC, pH, clay, SOC). Processed via a three-layer MLP (Linear(F_tab -&gt; 64) -&gt; BatchNorm -&gt; ReLU -&gt; Dropout(0.3) -&gt; Linear(64 -&gt; 32)) yielding a 32-dimensional context embedding e_tabular.</w:t>
      </w:r>
    </w:p>
    <w:p w14:paraId="293E776B"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5. Multimodal Gated Cross-Attention Fusion Engine: </w:t>
      </w:r>
      <w:r w:rsidRPr="00CB1FF3">
        <w:rPr>
          <w:rFonts w:ascii="Times New Roman" w:hAnsi="Times New Roman" w:cs="Times New Roman"/>
          <w:color w:val="2D3748"/>
          <w:sz w:val="21"/>
        </w:rPr>
        <w:t>Rather than naive vector concatenation, the four latent embeddings [e_spatial (64), e_temporal (64), e_periodic (32), e_tabular (32)] are projected into a common d_model = 64 dimensional representation space. A Multi-Head Cross-Attention layer computes dynamic cross-modal attention matrices, allowing temporal climate anomalies to query spatial vegetation patches and tabular soil properties. Gated skip-connections regulate information flow, yielding a unified 128-dimensional multimodal context vector g_fused.</w:t>
      </w:r>
    </w:p>
    <w:p w14:paraId="5C7809A1" w14:textId="77777777" w:rsidR="000D51DB" w:rsidRPr="00CB1FF3" w:rsidRDefault="00CB1FF3" w:rsidP="00CB1FF3">
      <w:pPr>
        <w:keepNext/>
        <w:spacing w:before="160" w:after="60"/>
        <w:jc w:val="both"/>
        <w:rPr>
          <w:rFonts w:ascii="Times New Roman" w:hAnsi="Times New Roman" w:cs="Times New Roman"/>
        </w:rPr>
      </w:pPr>
      <w:r w:rsidRPr="00CB1FF3">
        <w:rPr>
          <w:rFonts w:ascii="Times New Roman" w:hAnsi="Times New Roman" w:cs="Times New Roman"/>
          <w:b/>
          <w:color w:val="2D3748"/>
        </w:rPr>
        <w:t>3.5.3 Multi-Task Output Prediction Heads</w:t>
      </w:r>
    </w:p>
    <w:p w14:paraId="04164374"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The fused context vector g_fused is routed to three specialized prediction heads operating simultaneously:</w:t>
      </w:r>
    </w:p>
    <w:p w14:paraId="65266413"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Head A: Physical Drought Hazard Probability: </w:t>
      </w:r>
      <w:r w:rsidRPr="00CB1FF3">
        <w:rPr>
          <w:rFonts w:ascii="Times New Roman" w:hAnsi="Times New Roman" w:cs="Times New Roman"/>
          <w:color w:val="2D3748"/>
          <w:sz w:val="21"/>
        </w:rPr>
        <w:t>Emits the quantitative probability of meteorological-agricultural drought occurrence across forward leads L (1, 2, 3 months): P(SPI-3 &lt;= -1.0) and P(Sc-PDSI &lt;= -2.0) via a Sigmoid activation.</w:t>
      </w:r>
    </w:p>
    <w:p w14:paraId="0CDA09D1"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Head B: Prescriptive Crop Risk Index: </w:t>
      </w:r>
      <w:r w:rsidRPr="00CB1FF3">
        <w:rPr>
          <w:rFonts w:ascii="Times New Roman" w:hAnsi="Times New Roman" w:cs="Times New Roman"/>
          <w:color w:val="2D3748"/>
          <w:sz w:val="21"/>
        </w:rPr>
        <w:t>Computes the biological sensitivity-adjusted drought risk P_adj across staple regional crops, modulating hazard probabilities by species sensitivity coefficients s.</w:t>
      </w:r>
    </w:p>
    <w:p w14:paraId="23B75365"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Head C: Acute Food Insecurity Classification: </w:t>
      </w:r>
      <w:r w:rsidRPr="00CB1FF3">
        <w:rPr>
          <w:rFonts w:ascii="Times New Roman" w:hAnsi="Times New Roman" w:cs="Times New Roman"/>
          <w:color w:val="2D3748"/>
          <w:sz w:val="21"/>
        </w:rPr>
        <w:t>Emits a 5-class probability distribution across FEWS NET / IPC acute food insecurity phases (Phase 1: Minimal, Phase 2: Stressed, Phase 3: Crisis, Phase 4: Emergency, Phase 5: Catastrophe) via a Softmax layer.</w:t>
      </w:r>
    </w:p>
    <w:p w14:paraId="4B071392" w14:textId="77777777" w:rsidR="000D51DB" w:rsidRPr="00CB1FF3" w:rsidRDefault="00CB1FF3" w:rsidP="00CB1FF3">
      <w:pPr>
        <w:keepNext/>
        <w:spacing w:before="240" w:after="80"/>
        <w:jc w:val="both"/>
        <w:rPr>
          <w:rFonts w:ascii="Times New Roman" w:hAnsi="Times New Roman" w:cs="Times New Roman"/>
        </w:rPr>
      </w:pPr>
      <w:r w:rsidRPr="00CB1FF3">
        <w:rPr>
          <w:rFonts w:ascii="Times New Roman" w:hAnsi="Times New Roman" w:cs="Times New Roman"/>
          <w:b/>
          <w:color w:val="2B6CB0"/>
          <w:sz w:val="24"/>
        </w:rPr>
        <w:t>3.6 Crop Sensitivity Phenology and 4-Tier Prescriptive Advisory Matrix</w:t>
      </w:r>
    </w:p>
    <w:p w14:paraId="6986A59F"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A drought prediction provides zero operational value to a smallholder farmer if it is communicated as an abstract statistical metric without actionable instructions. In AgriMinds, physical drought hazard probability P is translated into crop-tailored operational decisions by applying biological crop sensitivity multipliers (s) encoded in the agronomic rules engine (ml/src/ai_drews/advisory/rules.py). Table 3.3 details the phenological vulnerability profiles and management parameters:</w:t>
      </w:r>
    </w:p>
    <w:tbl>
      <w:tblPr>
        <w:tblW w:w="0" w:type="auto"/>
        <w:jc w:val="center"/>
        <w:tblBorders>
          <w:top w:val="single" w:sz="6" w:space="0" w:color="CBD5E0"/>
          <w:bottom w:val="single" w:sz="6" w:space="0" w:color="CBD5E0"/>
          <w:insideH w:val="single" w:sz="4" w:space="0" w:color="CBD5E0"/>
        </w:tblBorders>
        <w:tblLook w:val="04A0" w:firstRow="1" w:lastRow="0" w:firstColumn="1" w:lastColumn="0" w:noHBand="0" w:noVBand="1"/>
      </w:tblPr>
      <w:tblGrid>
        <w:gridCol w:w="1728"/>
        <w:gridCol w:w="1584"/>
        <w:gridCol w:w="2736"/>
        <w:gridCol w:w="3312"/>
      </w:tblGrid>
      <w:tr w:rsidR="000D51DB" w:rsidRPr="00CB1FF3" w14:paraId="280E8985" w14:textId="77777777">
        <w:trPr>
          <w:jc w:val="center"/>
        </w:trPr>
        <w:tc>
          <w:tcPr>
            <w:tcW w:w="1728" w:type="dxa"/>
            <w:shd w:val="clear" w:color="auto" w:fill="1A365D"/>
            <w:tcMar>
              <w:top w:w="120" w:type="dxa"/>
              <w:left w:w="150" w:type="dxa"/>
              <w:bottom w:w="120" w:type="dxa"/>
              <w:right w:w="150" w:type="dxa"/>
            </w:tcMar>
          </w:tcPr>
          <w:p w14:paraId="6D8CBFF1"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b/>
                <w:color w:val="FFFFFF"/>
                <w:sz w:val="19"/>
              </w:rPr>
              <w:t>Crop Species</w:t>
            </w:r>
          </w:p>
        </w:tc>
        <w:tc>
          <w:tcPr>
            <w:tcW w:w="1584" w:type="dxa"/>
            <w:shd w:val="clear" w:color="auto" w:fill="1A365D"/>
            <w:tcMar>
              <w:top w:w="120" w:type="dxa"/>
              <w:left w:w="150" w:type="dxa"/>
              <w:bottom w:w="120" w:type="dxa"/>
              <w:right w:w="150" w:type="dxa"/>
            </w:tcMar>
          </w:tcPr>
          <w:p w14:paraId="4BAC7211"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b/>
                <w:color w:val="FFFFFF"/>
                <w:sz w:val="19"/>
              </w:rPr>
              <w:t>Biological Sensitivity (s)</w:t>
            </w:r>
          </w:p>
        </w:tc>
        <w:tc>
          <w:tcPr>
            <w:tcW w:w="2736" w:type="dxa"/>
            <w:shd w:val="clear" w:color="auto" w:fill="1A365D"/>
            <w:tcMar>
              <w:top w:w="120" w:type="dxa"/>
              <w:left w:w="150" w:type="dxa"/>
              <w:bottom w:w="120" w:type="dxa"/>
              <w:right w:w="150" w:type="dxa"/>
            </w:tcMar>
          </w:tcPr>
          <w:p w14:paraId="31A0D736"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b/>
                <w:color w:val="FFFFFF"/>
                <w:sz w:val="19"/>
              </w:rPr>
              <w:t>Critical Phenological Vulnerability Window</w:t>
            </w:r>
          </w:p>
        </w:tc>
        <w:tc>
          <w:tcPr>
            <w:tcW w:w="3312" w:type="dxa"/>
            <w:shd w:val="clear" w:color="auto" w:fill="1A365D"/>
            <w:tcMar>
              <w:top w:w="120" w:type="dxa"/>
              <w:left w:w="150" w:type="dxa"/>
              <w:bottom w:w="120" w:type="dxa"/>
              <w:right w:w="150" w:type="dxa"/>
            </w:tcMar>
          </w:tcPr>
          <w:p w14:paraId="026CEEB7"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b/>
                <w:color w:val="FFFFFF"/>
                <w:sz w:val="19"/>
              </w:rPr>
              <w:t>Optimal Agronomic Sowing &amp; Management Protocols</w:t>
            </w:r>
          </w:p>
        </w:tc>
      </w:tr>
      <w:tr w:rsidR="000D51DB" w:rsidRPr="00CB1FF3" w14:paraId="4CB7809A" w14:textId="77777777">
        <w:trPr>
          <w:jc w:val="center"/>
        </w:trPr>
        <w:tc>
          <w:tcPr>
            <w:tcW w:w="1728" w:type="dxa"/>
            <w:shd w:val="clear" w:color="auto" w:fill="FFFFFF"/>
            <w:tcMar>
              <w:top w:w="100" w:type="dxa"/>
              <w:left w:w="150" w:type="dxa"/>
              <w:bottom w:w="100" w:type="dxa"/>
              <w:right w:w="150" w:type="dxa"/>
            </w:tcMar>
          </w:tcPr>
          <w:p w14:paraId="50BE7F25"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lastRenderedPageBreak/>
              <w:t>Sorghum (Sorghum bicolor)</w:t>
            </w:r>
          </w:p>
        </w:tc>
        <w:tc>
          <w:tcPr>
            <w:tcW w:w="1584" w:type="dxa"/>
            <w:shd w:val="clear" w:color="auto" w:fill="FFFFFF"/>
            <w:tcMar>
              <w:top w:w="100" w:type="dxa"/>
              <w:left w:w="150" w:type="dxa"/>
              <w:bottom w:w="100" w:type="dxa"/>
              <w:right w:w="150" w:type="dxa"/>
            </w:tcMar>
          </w:tcPr>
          <w:p w14:paraId="37209864"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 = 0.9 (Moderate)</w:t>
            </w:r>
          </w:p>
        </w:tc>
        <w:tc>
          <w:tcPr>
            <w:tcW w:w="2736" w:type="dxa"/>
            <w:shd w:val="clear" w:color="auto" w:fill="FFFFFF"/>
            <w:tcMar>
              <w:top w:w="100" w:type="dxa"/>
              <w:left w:w="150" w:type="dxa"/>
              <w:bottom w:w="100" w:type="dxa"/>
              <w:right w:w="150" w:type="dxa"/>
            </w:tcMar>
          </w:tcPr>
          <w:p w14:paraId="78830805"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Flowering and early grain milk stage; highly drought-resistant during vegetative stage due to deep root system.</w:t>
            </w:r>
          </w:p>
        </w:tc>
        <w:tc>
          <w:tcPr>
            <w:tcW w:w="3312" w:type="dxa"/>
            <w:shd w:val="clear" w:color="auto" w:fill="FFFFFF"/>
            <w:tcMar>
              <w:top w:w="100" w:type="dxa"/>
              <w:left w:w="150" w:type="dxa"/>
              <w:bottom w:w="100" w:type="dxa"/>
              <w:right w:w="150" w:type="dxa"/>
            </w:tcMar>
          </w:tcPr>
          <w:p w14:paraId="55D7A3E6"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Sowing: Mid-May (midlands) to late June (lowlands). Tolerates dry spells; prioritize tied-ridging and in-situ rainwater harvesting.</w:t>
            </w:r>
          </w:p>
        </w:tc>
      </w:tr>
      <w:tr w:rsidR="000D51DB" w:rsidRPr="00CB1FF3" w14:paraId="1B8A43BE" w14:textId="77777777">
        <w:trPr>
          <w:jc w:val="center"/>
        </w:trPr>
        <w:tc>
          <w:tcPr>
            <w:tcW w:w="1728" w:type="dxa"/>
            <w:shd w:val="clear" w:color="auto" w:fill="F7FAFC"/>
            <w:tcMar>
              <w:top w:w="100" w:type="dxa"/>
              <w:left w:w="150" w:type="dxa"/>
              <w:bottom w:w="100" w:type="dxa"/>
              <w:right w:w="150" w:type="dxa"/>
            </w:tcMar>
          </w:tcPr>
          <w:p w14:paraId="36CD69D0"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Maize (Zea mays)</w:t>
            </w:r>
          </w:p>
        </w:tc>
        <w:tc>
          <w:tcPr>
            <w:tcW w:w="1584" w:type="dxa"/>
            <w:shd w:val="clear" w:color="auto" w:fill="F7FAFC"/>
            <w:tcMar>
              <w:top w:w="100" w:type="dxa"/>
              <w:left w:w="150" w:type="dxa"/>
              <w:bottom w:w="100" w:type="dxa"/>
              <w:right w:w="150" w:type="dxa"/>
            </w:tcMar>
          </w:tcPr>
          <w:p w14:paraId="0161308D"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 = 1.3 (Very High)</w:t>
            </w:r>
          </w:p>
        </w:tc>
        <w:tc>
          <w:tcPr>
            <w:tcW w:w="2736" w:type="dxa"/>
            <w:shd w:val="clear" w:color="auto" w:fill="F7FAFC"/>
            <w:tcMar>
              <w:top w:w="100" w:type="dxa"/>
              <w:left w:w="150" w:type="dxa"/>
              <w:bottom w:w="100" w:type="dxa"/>
              <w:right w:w="150" w:type="dxa"/>
            </w:tcMar>
          </w:tcPr>
          <w:p w14:paraId="0890387D"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Tasseling, silking, and early grain filling. Moisture stress during silking causes pollination failure and catastrophic barren stalks.</w:t>
            </w:r>
          </w:p>
        </w:tc>
        <w:tc>
          <w:tcPr>
            <w:tcW w:w="3312" w:type="dxa"/>
            <w:shd w:val="clear" w:color="auto" w:fill="F7FAFC"/>
            <w:tcMar>
              <w:top w:w="100" w:type="dxa"/>
              <w:left w:w="150" w:type="dxa"/>
              <w:bottom w:w="100" w:type="dxa"/>
              <w:right w:w="150" w:type="dxa"/>
            </w:tcMar>
          </w:tcPr>
          <w:p w14:paraId="1FD3CDC8"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Sowing: Late April to mid-May for long-cycle varieties; switch immediately to ultra-early maturing varieties or tef/sorghum if Belg rains fail.</w:t>
            </w:r>
          </w:p>
        </w:tc>
      </w:tr>
      <w:tr w:rsidR="000D51DB" w:rsidRPr="00CB1FF3" w14:paraId="35D080B3" w14:textId="77777777">
        <w:trPr>
          <w:jc w:val="center"/>
        </w:trPr>
        <w:tc>
          <w:tcPr>
            <w:tcW w:w="1728" w:type="dxa"/>
            <w:shd w:val="clear" w:color="auto" w:fill="FFFFFF"/>
            <w:tcMar>
              <w:top w:w="100" w:type="dxa"/>
              <w:left w:w="150" w:type="dxa"/>
              <w:bottom w:w="100" w:type="dxa"/>
              <w:right w:w="150" w:type="dxa"/>
            </w:tcMar>
          </w:tcPr>
          <w:p w14:paraId="22559632"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Haricot Bean (Phaseolus vulgaris)</w:t>
            </w:r>
          </w:p>
        </w:tc>
        <w:tc>
          <w:tcPr>
            <w:tcW w:w="1584" w:type="dxa"/>
            <w:shd w:val="clear" w:color="auto" w:fill="FFFFFF"/>
            <w:tcMar>
              <w:top w:w="100" w:type="dxa"/>
              <w:left w:w="150" w:type="dxa"/>
              <w:bottom w:w="100" w:type="dxa"/>
              <w:right w:w="150" w:type="dxa"/>
            </w:tcMar>
          </w:tcPr>
          <w:p w14:paraId="486FC6E8"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 = 1.1 (High)</w:t>
            </w:r>
          </w:p>
        </w:tc>
        <w:tc>
          <w:tcPr>
            <w:tcW w:w="2736" w:type="dxa"/>
            <w:shd w:val="clear" w:color="auto" w:fill="FFFFFF"/>
            <w:tcMar>
              <w:top w:w="100" w:type="dxa"/>
              <w:left w:w="150" w:type="dxa"/>
              <w:bottom w:w="100" w:type="dxa"/>
              <w:right w:w="150" w:type="dxa"/>
            </w:tcMar>
          </w:tcPr>
          <w:p w14:paraId="032E8019"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Flowering, pod initiation, and pod filling. Susceptible to flower shedding and abortion under moisture stress.</w:t>
            </w:r>
          </w:p>
        </w:tc>
        <w:tc>
          <w:tcPr>
            <w:tcW w:w="3312" w:type="dxa"/>
            <w:shd w:val="clear" w:color="auto" w:fill="FFFFFF"/>
            <w:tcMar>
              <w:top w:w="100" w:type="dxa"/>
              <w:left w:w="150" w:type="dxa"/>
              <w:bottom w:w="100" w:type="dxa"/>
              <w:right w:w="150" w:type="dxa"/>
            </w:tcMar>
          </w:tcPr>
          <w:p w14:paraId="29F4F7BB"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Sowing: Early to mid-July. Ideal intercrop with sorghum or maize; provides soil nitrogen fixation and risk diversification.</w:t>
            </w:r>
          </w:p>
        </w:tc>
      </w:tr>
      <w:tr w:rsidR="000D51DB" w:rsidRPr="00CB1FF3" w14:paraId="6197F94C" w14:textId="77777777">
        <w:trPr>
          <w:jc w:val="center"/>
        </w:trPr>
        <w:tc>
          <w:tcPr>
            <w:tcW w:w="1728" w:type="dxa"/>
            <w:shd w:val="clear" w:color="auto" w:fill="F7FAFC"/>
            <w:tcMar>
              <w:top w:w="100" w:type="dxa"/>
              <w:left w:w="150" w:type="dxa"/>
              <w:bottom w:w="100" w:type="dxa"/>
              <w:right w:w="150" w:type="dxa"/>
            </w:tcMar>
          </w:tcPr>
          <w:p w14:paraId="1AE6339D"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Bread Wheat (Triticum aestivum)</w:t>
            </w:r>
          </w:p>
        </w:tc>
        <w:tc>
          <w:tcPr>
            <w:tcW w:w="1584" w:type="dxa"/>
            <w:shd w:val="clear" w:color="auto" w:fill="F7FAFC"/>
            <w:tcMar>
              <w:top w:w="100" w:type="dxa"/>
              <w:left w:w="150" w:type="dxa"/>
              <w:bottom w:w="100" w:type="dxa"/>
              <w:right w:w="150" w:type="dxa"/>
            </w:tcMar>
          </w:tcPr>
          <w:p w14:paraId="0C56C6AF"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 = 1.0 (Baseline)</w:t>
            </w:r>
          </w:p>
        </w:tc>
        <w:tc>
          <w:tcPr>
            <w:tcW w:w="2736" w:type="dxa"/>
            <w:shd w:val="clear" w:color="auto" w:fill="F7FAFC"/>
            <w:tcMar>
              <w:top w:w="100" w:type="dxa"/>
              <w:left w:w="150" w:type="dxa"/>
              <w:bottom w:w="100" w:type="dxa"/>
              <w:right w:w="150" w:type="dxa"/>
            </w:tcMar>
          </w:tcPr>
          <w:p w14:paraId="7810E756"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Crown root initiation (CRI, 20–25 days post-sowing), booting, and anthesis. Moderate drought tolerance in vertisols.</w:t>
            </w:r>
          </w:p>
        </w:tc>
        <w:tc>
          <w:tcPr>
            <w:tcW w:w="3312" w:type="dxa"/>
            <w:shd w:val="clear" w:color="auto" w:fill="F7FAFC"/>
            <w:tcMar>
              <w:top w:w="100" w:type="dxa"/>
              <w:left w:w="150" w:type="dxa"/>
              <w:bottom w:w="100" w:type="dxa"/>
              <w:right w:w="150" w:type="dxa"/>
            </w:tcMar>
          </w:tcPr>
          <w:p w14:paraId="3B87BE30"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Sowing: Mid-June to early July. Staggered planting mitigates mid-season moisture deficits; prioritize supplemental deficit irrigation at CRI.</w:t>
            </w:r>
          </w:p>
        </w:tc>
      </w:tr>
      <w:tr w:rsidR="000D51DB" w:rsidRPr="00CB1FF3" w14:paraId="294275C0" w14:textId="77777777">
        <w:trPr>
          <w:jc w:val="center"/>
        </w:trPr>
        <w:tc>
          <w:tcPr>
            <w:tcW w:w="1728" w:type="dxa"/>
            <w:shd w:val="clear" w:color="auto" w:fill="FFFFFF"/>
            <w:tcMar>
              <w:top w:w="100" w:type="dxa"/>
              <w:left w:w="150" w:type="dxa"/>
              <w:bottom w:w="100" w:type="dxa"/>
              <w:right w:w="150" w:type="dxa"/>
            </w:tcMar>
          </w:tcPr>
          <w:p w14:paraId="1E43CBDA"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Tef (Eragrostis tef)</w:t>
            </w:r>
          </w:p>
        </w:tc>
        <w:tc>
          <w:tcPr>
            <w:tcW w:w="1584" w:type="dxa"/>
            <w:shd w:val="clear" w:color="auto" w:fill="FFFFFF"/>
            <w:tcMar>
              <w:top w:w="100" w:type="dxa"/>
              <w:left w:w="150" w:type="dxa"/>
              <w:bottom w:w="100" w:type="dxa"/>
              <w:right w:w="150" w:type="dxa"/>
            </w:tcMar>
          </w:tcPr>
          <w:p w14:paraId="29F02B9C"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 = 0.8 (Resilient)</w:t>
            </w:r>
          </w:p>
        </w:tc>
        <w:tc>
          <w:tcPr>
            <w:tcW w:w="2736" w:type="dxa"/>
            <w:shd w:val="clear" w:color="auto" w:fill="FFFFFF"/>
            <w:tcMar>
              <w:top w:w="100" w:type="dxa"/>
              <w:left w:w="150" w:type="dxa"/>
              <w:bottom w:w="100" w:type="dxa"/>
              <w:right w:w="150" w:type="dxa"/>
            </w:tcMar>
          </w:tcPr>
          <w:p w14:paraId="7DC5C919"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Panicle emergence and heading. Shallow rooting but highly versatile; tolerates waterlogging and late-season dry spells.</w:t>
            </w:r>
          </w:p>
        </w:tc>
        <w:tc>
          <w:tcPr>
            <w:tcW w:w="3312" w:type="dxa"/>
            <w:shd w:val="clear" w:color="auto" w:fill="FFFFFF"/>
            <w:tcMar>
              <w:top w:w="100" w:type="dxa"/>
              <w:left w:w="150" w:type="dxa"/>
              <w:bottom w:w="100" w:type="dxa"/>
              <w:right w:w="150" w:type="dxa"/>
            </w:tcMar>
          </w:tcPr>
          <w:p w14:paraId="27C0C496"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Sowing: Mid to late July. Acts as the primary emergency catch-crop when early Belg/Kiremt rains fail and maize aborts.</w:t>
            </w:r>
          </w:p>
        </w:tc>
      </w:tr>
    </w:tbl>
    <w:p w14:paraId="75AC169F"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The adjusted risk probability P_adj = min(P * s, 1.0) maps onto a Four-Tier Operational Advisory Action Matrix, triggering concrete, verified farm-management interventions:</w:t>
      </w:r>
    </w:p>
    <w:p w14:paraId="65ECC3BA"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1. Low Risk (P_adj &lt; 0.25): </w:t>
      </w:r>
      <w:r w:rsidRPr="00CB1FF3">
        <w:rPr>
          <w:rFonts w:ascii="Times New Roman" w:hAnsi="Times New Roman" w:cs="Times New Roman"/>
          <w:color w:val="2D3748"/>
          <w:sz w:val="21"/>
        </w:rPr>
        <w:t>Proceed with certified high-yielding full-season varieties. Standard fertilizer application packages (NPS/Urea). Standard moisture conservation (contour plowing, conservation tillage).</w:t>
      </w:r>
    </w:p>
    <w:p w14:paraId="471D9B0D"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2. Moderate Risk (0.25 &lt;= P_adj &lt; 0.45): </w:t>
      </w:r>
      <w:r w:rsidRPr="00CB1FF3">
        <w:rPr>
          <w:rFonts w:ascii="Times New Roman" w:hAnsi="Times New Roman" w:cs="Times New Roman"/>
          <w:color w:val="2D3748"/>
          <w:sz w:val="21"/>
        </w:rPr>
        <w:t>Prioritize certified early-maturing and drought-escaping seed varieties. Conduct seed priming (pre-soaking seeds to accelerate germination). Construct in-situ soil moisture structures (tie-ridging, contour bunding, micro-basins). Monitor dekadal agro-meteorological bulletins with kebele development agents.</w:t>
      </w:r>
    </w:p>
    <w:p w14:paraId="55D20B73"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3. High Risk (0.45 &lt;= P_adj &lt; 0.65): </w:t>
      </w:r>
      <w:r w:rsidRPr="00CB1FF3">
        <w:rPr>
          <w:rFonts w:ascii="Times New Roman" w:hAnsi="Times New Roman" w:cs="Times New Roman"/>
          <w:color w:val="2D3748"/>
          <w:sz w:val="21"/>
        </w:rPr>
        <w:t>Crop species substitution: pivot acreage from vulnerable long-cycle maize to drought-hardy sorghum or tef. Stagger sowing dates across fragmented plots to hedge against dry spells. Delay planting until cumulative soil moisture recharge exceeds 25 mm. Activate deficit irrigation schedules on irrigable plots. Establish community livestock fodder reserves.</w:t>
      </w:r>
    </w:p>
    <w:p w14:paraId="760E30C9"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4. Severe Risk (P_adj &gt;= 0.65): </w:t>
      </w:r>
      <w:r w:rsidRPr="00CB1FF3">
        <w:rPr>
          <w:rFonts w:ascii="Times New Roman" w:hAnsi="Times New Roman" w:cs="Times New Roman"/>
          <w:color w:val="2D3748"/>
          <w:sz w:val="21"/>
        </w:rPr>
        <w:t>Emergency agronomic pivot: abort long-cycle cereal cultivation; switch 100% of cultivated area to ultra-short-cycle pulses (haricot bean, chickpea) or drought-tolerant tef. Restrict water applications strictly to homestead high-density nursery plots. Secure livestock via destocking or migration to designated drought reserves. Trigger early shock-responsive safety-net programs (Productive Safety Net Programme [PSNP]) and release strategic woreda grain reserves.</w:t>
      </w:r>
    </w:p>
    <w:p w14:paraId="19729272" w14:textId="77777777" w:rsidR="000D51DB" w:rsidRPr="00CB1FF3" w:rsidRDefault="00CB1FF3" w:rsidP="00CB1FF3">
      <w:pPr>
        <w:keepNext/>
        <w:spacing w:before="240" w:after="80"/>
        <w:jc w:val="both"/>
        <w:rPr>
          <w:rFonts w:ascii="Times New Roman" w:hAnsi="Times New Roman" w:cs="Times New Roman"/>
        </w:rPr>
      </w:pPr>
      <w:r w:rsidRPr="00CB1FF3">
        <w:rPr>
          <w:rFonts w:ascii="Times New Roman" w:hAnsi="Times New Roman" w:cs="Times New Roman"/>
          <w:b/>
          <w:color w:val="2B6CB0"/>
          <w:sz w:val="24"/>
        </w:rPr>
        <w:t>3.7 Bi-Directional Indigenous Ecological Knowledge (IEK) Consensus Engine</w:t>
      </w:r>
    </w:p>
    <w:p w14:paraId="5B68E9F7"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Scientific forecasts are frequently rejected by rural pastoral and agrarian communities when perceived as opaque, top-down edicts disconnected from cultural traditions. AgriMinds bridges this divide through a Bi-</w:t>
      </w:r>
      <w:r w:rsidRPr="00CB1FF3">
        <w:rPr>
          <w:rFonts w:ascii="Times New Roman" w:hAnsi="Times New Roman" w:cs="Times New Roman"/>
          <w:color w:val="2D3748"/>
          <w:sz w:val="21"/>
        </w:rPr>
        <w:lastRenderedPageBreak/>
        <w:t>Directional IEK Consensus Engine. Agricultural extension agents and lead farmers submit observed local bio-climatic indicators via the offline-first mobile application:</w:t>
      </w:r>
    </w:p>
    <w:p w14:paraId="62E49EAA"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Atmospheric Indicators: </w:t>
      </w:r>
      <w:r w:rsidRPr="00CB1FF3">
        <w:rPr>
          <w:rFonts w:ascii="Times New Roman" w:hAnsi="Times New Roman" w:cs="Times New Roman"/>
          <w:color w:val="2D3748"/>
          <w:sz w:val="21"/>
        </w:rPr>
        <w:t>Dry, dust-laden easterly winds indicate prolonged dry spells; steady, moist southwesterly winds signaling Kiremt monsoon onset; dense morning mist lingering on Gara Muleta mountain summits indicating imminent rainfall.</w:t>
      </w:r>
    </w:p>
    <w:p w14:paraId="77A7DC36"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Faunal Indicators: </w:t>
      </w:r>
      <w:r w:rsidRPr="00CB1FF3">
        <w:rPr>
          <w:rFonts w:ascii="Times New Roman" w:hAnsi="Times New Roman" w:cs="Times New Roman"/>
          <w:color w:val="2D3748"/>
          <w:sz w:val="21"/>
        </w:rPr>
        <w:t>Arrival and nesting of the Abdim's Stork (Ciconia abdimii, 'Shimela') signaling reliable rain within 10–14 days; aberrant bird migratory retreats indicating impending drought; aggressive honeybee swarming and foraging intensity.</w:t>
      </w:r>
    </w:p>
    <w:p w14:paraId="7DB7F880"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Floral Phenology: </w:t>
      </w:r>
      <w:r w:rsidRPr="00CB1FF3">
        <w:rPr>
          <w:rFonts w:ascii="Times New Roman" w:hAnsi="Times New Roman" w:cs="Times New Roman"/>
          <w:color w:val="2D3748"/>
          <w:sz w:val="21"/>
        </w:rPr>
        <w:t>Abnormal profuse flowering of Acacia bussei, Acacia tortilis, and Hagenia abyssinica before the rains denoting impending severe dry spells (trees responding to stress).</w:t>
      </w:r>
    </w:p>
    <w:p w14:paraId="15C5547E"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The IEK consensus algorithm compares the AI-predicted hazard state with the aggregated community traditional observation index, assigning one of three operational consensus states:</w:t>
      </w:r>
    </w:p>
    <w:p w14:paraId="4E472157"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1. High Consensus (Confidence = HIGH): </w:t>
      </w:r>
      <w:r w:rsidRPr="00CB1FF3">
        <w:rPr>
          <w:rFonts w:ascii="Times New Roman" w:hAnsi="Times New Roman" w:cs="Times New Roman"/>
          <w:color w:val="2D3748"/>
          <w:sz w:val="21"/>
        </w:rPr>
        <w:t>Both the AI model and traditional indicators agree (e.g., both signal high drought hazard or both signal favorable rainfall). Model confidence is elevated to HIGH, and prescriptive action packages are issued with joint endorsement.</w:t>
      </w:r>
    </w:p>
    <w:p w14:paraId="19D6EFF5"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2. Moderate Consensus (Confidence = MODERATE): </w:t>
      </w:r>
      <w:r w:rsidRPr="00CB1FF3">
        <w:rPr>
          <w:rFonts w:ascii="Times New Roman" w:hAnsi="Times New Roman" w:cs="Times New Roman"/>
          <w:color w:val="2D3748"/>
          <w:sz w:val="21"/>
        </w:rPr>
        <w:t>One system indicates moderate stress while the other indicates near-normal conditions. Confidence is marked MODERATE, and weekly field monitoring by development agents is scheduled.</w:t>
      </w:r>
    </w:p>
    <w:p w14:paraId="65C04C50"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3. Divergent Consensus (Flag = GROUND INSPECTION TRIGGERED): </w:t>
      </w:r>
      <w:r w:rsidRPr="00CB1FF3">
        <w:rPr>
          <w:rFonts w:ascii="Times New Roman" w:hAnsi="Times New Roman" w:cs="Times New Roman"/>
          <w:color w:val="2D3748"/>
          <w:sz w:val="21"/>
        </w:rPr>
        <w:t>The AI deep learning model predicts severe drought while traditional cues indicate heavy rainfall (or vice versa). Confidence is marked DIVERGENT; the system immediately issues an automated ground-inspection task to woreda agricultural supervisors to verify local soil moisture and rain gauges before broadcasting mass alerts.</w:t>
      </w:r>
    </w:p>
    <w:p w14:paraId="1D3C8FC0" w14:textId="77777777" w:rsidR="000D51DB" w:rsidRPr="00CB1FF3" w:rsidRDefault="00CB1FF3" w:rsidP="00CB1FF3">
      <w:pPr>
        <w:keepNext/>
        <w:spacing w:before="240" w:after="80"/>
        <w:jc w:val="both"/>
        <w:rPr>
          <w:rFonts w:ascii="Times New Roman" w:hAnsi="Times New Roman" w:cs="Times New Roman"/>
        </w:rPr>
      </w:pPr>
      <w:r w:rsidRPr="00CB1FF3">
        <w:rPr>
          <w:rFonts w:ascii="Times New Roman" w:hAnsi="Times New Roman" w:cs="Times New Roman"/>
          <w:b/>
          <w:color w:val="2B6CB0"/>
          <w:sz w:val="24"/>
        </w:rPr>
        <w:t>3.8 Explainable Artificial Intelligence (XAI) Implementation</w:t>
      </w:r>
    </w:p>
    <w:p w14:paraId="376387CD"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The XAI framework provides multi-level interpretability across tabular, spatial, and temporal dimensions:</w:t>
      </w:r>
    </w:p>
    <w:p w14:paraId="005D8F28"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Tabular &amp; Multimodal SHAP Attributions: </w:t>
      </w:r>
      <w:r w:rsidRPr="00CB1FF3">
        <w:rPr>
          <w:rFonts w:ascii="Times New Roman" w:hAnsi="Times New Roman" w:cs="Times New Roman"/>
          <w:color w:val="2D3748"/>
          <w:sz w:val="21"/>
        </w:rPr>
        <w:t>TreeExplainer and KernelExplainer compute Shapley values for all tabular features and fused latent dimensions. The system generates global feature importance bar charts and local force plots explaining individual woreda forecasts (e.g., 'Babile Woreda assigned High Drought Risk: +38% due to 60-day rainfall deficit, +22% due to low SMAP root-zone moisture, -8% mitigated by high soil clay water retention').</w:t>
      </w:r>
    </w:p>
    <w:p w14:paraId="2049902E"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Spatial Grad-CAM Saliency: </w:t>
      </w:r>
      <w:r w:rsidRPr="00CB1FF3">
        <w:rPr>
          <w:rFonts w:ascii="Times New Roman" w:hAnsi="Times New Roman" w:cs="Times New Roman"/>
          <w:color w:val="2D3748"/>
          <w:sz w:val="21"/>
        </w:rPr>
        <w:t>Visualizes spatial activation maps from the final convolutional layer of the ResNet branch. The heatmaps overlay satellite true-color imagery to highlight specific microclimatic zones (e.g., degraded slope catchments vs. riparian valleys) driving the model's visual predictions.</w:t>
      </w:r>
    </w:p>
    <w:p w14:paraId="412CF35A"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Temporal Sequence Attribution: </w:t>
      </w:r>
      <w:r w:rsidRPr="00CB1FF3">
        <w:rPr>
          <w:rFonts w:ascii="Times New Roman" w:hAnsi="Times New Roman" w:cs="Times New Roman"/>
          <w:color w:val="2D3748"/>
          <w:sz w:val="21"/>
        </w:rPr>
        <w:t>Permutation feature importance and temporal attention scores quantify the relative contribution of each antecedent month, identifying whether the shock is driven by acute recent failure (Lead 1) or cumulative multi-season deficit (Leads 2–6).</w:t>
      </w:r>
    </w:p>
    <w:p w14:paraId="7480A639" w14:textId="77777777" w:rsidR="000D51DB" w:rsidRPr="00CB1FF3" w:rsidRDefault="00CB1FF3" w:rsidP="00CB1FF3">
      <w:pPr>
        <w:keepNext/>
        <w:spacing w:before="240" w:after="80"/>
        <w:jc w:val="both"/>
        <w:rPr>
          <w:rFonts w:ascii="Times New Roman" w:hAnsi="Times New Roman" w:cs="Times New Roman"/>
        </w:rPr>
      </w:pPr>
      <w:r w:rsidRPr="00CB1FF3">
        <w:rPr>
          <w:rFonts w:ascii="Times New Roman" w:hAnsi="Times New Roman" w:cs="Times New Roman"/>
          <w:b/>
          <w:color w:val="2B6CB0"/>
          <w:sz w:val="24"/>
        </w:rPr>
        <w:t>3.9 Neo4j Semantic Knowledge Graph Architecture</w:t>
      </w:r>
    </w:p>
    <w:p w14:paraId="0675D372"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A graph database (Neo4j 5.x) explicitly models the semantic entities and cascading dependencies of Eastern Hararghe's agricultural landscape. The graph schema comprises:</w:t>
      </w:r>
    </w:p>
    <w:p w14:paraId="713D5DE8"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Core Entity Nodes: </w:t>
      </w:r>
      <w:r w:rsidRPr="00CB1FF3">
        <w:rPr>
          <w:rFonts w:ascii="Times New Roman" w:hAnsi="Times New Roman" w:cs="Times New Roman"/>
          <w:color w:val="2D3748"/>
          <w:sz w:val="21"/>
        </w:rPr>
        <w:t>Woreda, Kebele, ClimateRecord, VegetationRecord, SoilMoistureRecord, Crop, LivestockSystem, DroughtEvent, FoodInsecurityStatus, VulnerablePopulation, EarlyWarningAlert, and ReliefProgram.</w:t>
      </w:r>
    </w:p>
    <w:p w14:paraId="5A486E89"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lastRenderedPageBreak/>
        <w:t xml:space="preserve">Semantic Relationships: </w:t>
      </w:r>
      <w:r w:rsidRPr="00CB1FF3">
        <w:rPr>
          <w:rFonts w:ascii="Times New Roman" w:hAnsi="Times New Roman" w:cs="Times New Roman"/>
          <w:color w:val="2D3748"/>
          <w:sz w:val="21"/>
        </w:rPr>
        <w:t>HAS_CLIMATE, HAS_VEGETATION, HAS_SOIL_MOISTURE, CULTIVATES_CROP, EXPERIENCES_DROUGHT, SUFFERS_FOOD_INSECURITY, AFFECTS_LIVELIHOOD, TRIGGERS_ALERT, and MITIGATED_BY.</w:t>
      </w:r>
    </w:p>
    <w:p w14:paraId="27C57548"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Sample Cypher Analytical Query for Cascading Vulnerability Reasoning:</w:t>
      </w:r>
    </w:p>
    <w:tbl>
      <w:tblPr>
        <w:tblW w:w="0" w:type="auto"/>
        <w:jc w:val="center"/>
        <w:tblLayout w:type="fixed"/>
        <w:tblLook w:val="04A0" w:firstRow="1" w:lastRow="0" w:firstColumn="1" w:lastColumn="0" w:noHBand="0" w:noVBand="1"/>
      </w:tblPr>
      <w:tblGrid>
        <w:gridCol w:w="9360"/>
      </w:tblGrid>
      <w:tr w:rsidR="000D51DB" w:rsidRPr="00CB1FF3" w14:paraId="3FC44F10" w14:textId="77777777">
        <w:trPr>
          <w:jc w:val="center"/>
        </w:trPr>
        <w:tc>
          <w:tcPr>
            <w:tcW w:w="9360" w:type="dxa"/>
            <w:tcBorders>
              <w:left w:val="single" w:sz="24" w:space="0" w:color="2B6CB0"/>
            </w:tcBorders>
            <w:shd w:val="clear" w:color="auto" w:fill="EDF2F7"/>
            <w:tcMar>
              <w:top w:w="140" w:type="dxa"/>
              <w:left w:w="200" w:type="dxa"/>
              <w:bottom w:w="140" w:type="dxa"/>
              <w:right w:w="200" w:type="dxa"/>
            </w:tcMar>
          </w:tcPr>
          <w:p w14:paraId="5D311A21" w14:textId="77777777" w:rsidR="000D51DB" w:rsidRPr="00CB1FF3" w:rsidRDefault="00CB1FF3" w:rsidP="00CB1FF3">
            <w:pPr>
              <w:spacing w:after="60"/>
              <w:jc w:val="both"/>
              <w:rPr>
                <w:rFonts w:ascii="Times New Roman" w:hAnsi="Times New Roman" w:cs="Times New Roman"/>
              </w:rPr>
            </w:pPr>
            <w:r w:rsidRPr="00CB1FF3">
              <w:rPr>
                <w:rFonts w:ascii="Times New Roman" w:hAnsi="Times New Roman" w:cs="Times New Roman"/>
                <w:b/>
                <w:color w:val="2B6CB0"/>
                <w:sz w:val="19"/>
              </w:rPr>
              <w:t>[NEO4J CYPHER QUERY: MULTI-HAZARD VULNERABILITY REASONING]</w:t>
            </w:r>
            <w:r w:rsidRPr="00CB1FF3">
              <w:rPr>
                <w:rFonts w:ascii="Times New Roman" w:hAnsi="Times New Roman" w:cs="Times New Roman"/>
                <w:b/>
                <w:color w:val="2B6CB0"/>
                <w:sz w:val="19"/>
              </w:rPr>
              <w:br/>
            </w:r>
            <w:r w:rsidRPr="00CB1FF3">
              <w:rPr>
                <w:rFonts w:ascii="Times New Roman" w:hAnsi="Times New Roman" w:cs="Times New Roman"/>
                <w:color w:val="2D3748"/>
                <w:sz w:val="20"/>
              </w:rPr>
              <w:t>MATCH (w:Woreda)-[:EXPERIENCES_DROUGHT]-&gt;(d:DroughtEvent)</w:t>
            </w:r>
            <w:r w:rsidRPr="00CB1FF3">
              <w:rPr>
                <w:rFonts w:ascii="Times New Roman" w:hAnsi="Times New Roman" w:cs="Times New Roman"/>
                <w:color w:val="2D3748"/>
                <w:sz w:val="20"/>
              </w:rPr>
              <w:br/>
              <w:t>MATCH (w)-[:CULTIVATES_CROP]-&gt;(c:Crop {name: 'Maize'})</w:t>
            </w:r>
            <w:r w:rsidRPr="00CB1FF3">
              <w:rPr>
                <w:rFonts w:ascii="Times New Roman" w:hAnsi="Times New Roman" w:cs="Times New Roman"/>
                <w:color w:val="2D3748"/>
                <w:sz w:val="20"/>
              </w:rPr>
              <w:br/>
              <w:t>MATCH (w)-[:SUFFERS_FOOD_INSECURITY]-&gt;(f:FoodInsecurityStatus)</w:t>
            </w:r>
            <w:r w:rsidRPr="00CB1FF3">
              <w:rPr>
                <w:rFonts w:ascii="Times New Roman" w:hAnsi="Times New Roman" w:cs="Times New Roman"/>
                <w:color w:val="2D3748"/>
                <w:sz w:val="20"/>
              </w:rPr>
              <w:br/>
              <w:t>WHERE d.severity IN ['Severe', 'Extreme'] AND f.ipc_phase &gt;= 3</w:t>
            </w:r>
            <w:r w:rsidRPr="00CB1FF3">
              <w:rPr>
                <w:rFonts w:ascii="Times New Roman" w:hAnsi="Times New Roman" w:cs="Times New Roman"/>
                <w:color w:val="2D3748"/>
                <w:sz w:val="20"/>
              </w:rPr>
              <w:br/>
              <w:t>RETURN w.name AS HighRiskWoreda, d.spi3 AS MoistureDeficit, c.vulnerability AS CropExposure,</w:t>
            </w:r>
            <w:r w:rsidRPr="00CB1FF3">
              <w:rPr>
                <w:rFonts w:ascii="Times New Roman" w:hAnsi="Times New Roman" w:cs="Times New Roman"/>
                <w:color w:val="2D3748"/>
                <w:sz w:val="20"/>
              </w:rPr>
              <w:br/>
              <w:t xml:space="preserve">       f.ipc_phase AS CrisisPhase, f.affected_population AS PopulationAtRisk</w:t>
            </w:r>
            <w:r w:rsidRPr="00CB1FF3">
              <w:rPr>
                <w:rFonts w:ascii="Times New Roman" w:hAnsi="Times New Roman" w:cs="Times New Roman"/>
                <w:color w:val="2D3748"/>
                <w:sz w:val="20"/>
              </w:rPr>
              <w:br/>
              <w:t>ORDER BY f.ipc_phase DESC, d.spi3 ASC;</w:t>
            </w:r>
          </w:p>
        </w:tc>
      </w:tr>
    </w:tbl>
    <w:p w14:paraId="6919E1F1" w14:textId="77777777" w:rsidR="000D51DB" w:rsidRPr="00CB1FF3" w:rsidRDefault="000D51DB" w:rsidP="00CB1FF3">
      <w:pPr>
        <w:spacing w:after="120"/>
        <w:jc w:val="both"/>
        <w:rPr>
          <w:rFonts w:ascii="Times New Roman" w:hAnsi="Times New Roman" w:cs="Times New Roman"/>
        </w:rPr>
      </w:pPr>
    </w:p>
    <w:p w14:paraId="20FDBF2F" w14:textId="77777777" w:rsidR="000D51DB" w:rsidRPr="00CB1FF3" w:rsidRDefault="00CB1FF3" w:rsidP="00CB1FF3">
      <w:pPr>
        <w:keepNext/>
        <w:spacing w:before="240" w:after="80"/>
        <w:jc w:val="both"/>
        <w:rPr>
          <w:rFonts w:ascii="Times New Roman" w:hAnsi="Times New Roman" w:cs="Times New Roman"/>
        </w:rPr>
      </w:pPr>
      <w:r w:rsidRPr="00CB1FF3">
        <w:rPr>
          <w:rFonts w:ascii="Times New Roman" w:hAnsi="Times New Roman" w:cs="Times New Roman"/>
          <w:b/>
          <w:color w:val="2B6CB0"/>
          <w:sz w:val="24"/>
        </w:rPr>
        <w:t>3.10 Experimental Design, Validation Protocols and the 'Honest Lead Horizon'</w:t>
      </w:r>
    </w:p>
    <w:p w14:paraId="419C1F61"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To ensure uncompromising scientific validity and eliminate data leakage, this study enforces strict chronological out-of-sample partitioning:</w:t>
      </w:r>
    </w:p>
    <w:p w14:paraId="1D6C93A6"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1. Model Training Window: </w:t>
      </w:r>
      <w:r w:rsidRPr="00CB1FF3">
        <w:rPr>
          <w:rFonts w:ascii="Times New Roman" w:hAnsi="Times New Roman" w:cs="Times New Roman"/>
          <w:color w:val="2D3748"/>
          <w:sz w:val="21"/>
        </w:rPr>
        <w:t>January 2015 – December 2021 (7 years). All feature scalers, normalizers, and model weights are fitted exclusively on this historical window.</w:t>
      </w:r>
    </w:p>
    <w:p w14:paraId="6968FEC0"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2. Out-of-Sample Validation Window: </w:t>
      </w:r>
      <w:r w:rsidRPr="00CB1FF3">
        <w:rPr>
          <w:rFonts w:ascii="Times New Roman" w:hAnsi="Times New Roman" w:cs="Times New Roman"/>
          <w:color w:val="2D3748"/>
          <w:sz w:val="21"/>
        </w:rPr>
        <w:t>January 2022 – December 2023 (2 years). Used for hyperparameter tuning, dropout optimization, early stopping, and fusion cross-attention calibration.</w:t>
      </w:r>
    </w:p>
    <w:p w14:paraId="7C01F578"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3. Independent Out-of-Sample Hindcasting Test Window: </w:t>
      </w:r>
      <w:r w:rsidRPr="00CB1FF3">
        <w:rPr>
          <w:rFonts w:ascii="Times New Roman" w:hAnsi="Times New Roman" w:cs="Times New Roman"/>
          <w:color w:val="2D3748"/>
          <w:sz w:val="21"/>
        </w:rPr>
        <w:t>January 2024 – December 2026 (3 years). Completely held-out testing window containing recent historic droughts. Evaluated without updating model weights.</w:t>
      </w:r>
    </w:p>
    <w:p w14:paraId="7233081C" w14:textId="77777777" w:rsidR="000D51DB" w:rsidRPr="00CB1FF3" w:rsidRDefault="00CB1FF3" w:rsidP="00CB1FF3">
      <w:pPr>
        <w:keepNext/>
        <w:spacing w:before="160" w:after="60"/>
        <w:jc w:val="both"/>
        <w:rPr>
          <w:rFonts w:ascii="Times New Roman" w:hAnsi="Times New Roman" w:cs="Times New Roman"/>
        </w:rPr>
      </w:pPr>
      <w:r w:rsidRPr="00CB1FF3">
        <w:rPr>
          <w:rFonts w:ascii="Times New Roman" w:hAnsi="Times New Roman" w:cs="Times New Roman"/>
          <w:b/>
          <w:color w:val="2D3748"/>
        </w:rPr>
        <w:t>3.10.1 The 'Honest Lead Horizon' Principle</w:t>
      </w:r>
    </w:p>
    <w:p w14:paraId="2ACAFC68"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In agricultural early warning, issuing false certainty at distant forecast horizons can induce catastrophic misinvestments by smallholder farmers. Each forecast lead (1, 2, 3 months ahead) is rigorously evaluated against local climatology using the Brier Skill Score (BSS):</w:t>
      </w:r>
    </w:p>
    <w:p w14:paraId="4841DA5A"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BSS = 1 - [Brier_{model} / Brier_{climatology}]</w:t>
      </w:r>
      <w:r w:rsidRPr="00CB1FF3">
        <w:rPr>
          <w:rFonts w:ascii="Times New Roman" w:hAnsi="Times New Roman" w:cs="Times New Roman"/>
          <w:color w:val="2D3748"/>
          <w:sz w:val="21"/>
        </w:rPr>
        <w:br/>
        <w:t>Where Brier is the mean squared probability error. A positive BSS demonstrates genuine predictive superiority over historical climatological odds. If BSS &lt;= 0 at distant leads, the system enforces a strict dual-track reporting policy: Lead 1 is published as a high-resolution quantitative probability map, while Leads 2 and 3 are published solely as qualitative directional outlooks accompanied by transparent skill indicators.</w:t>
      </w:r>
    </w:p>
    <w:p w14:paraId="21628DDB" w14:textId="77777777" w:rsidR="000D51DB" w:rsidRPr="00CB1FF3" w:rsidRDefault="00CB1FF3" w:rsidP="00CB1FF3">
      <w:pPr>
        <w:keepNext/>
        <w:spacing w:before="160" w:after="60"/>
        <w:jc w:val="both"/>
        <w:rPr>
          <w:rFonts w:ascii="Times New Roman" w:hAnsi="Times New Roman" w:cs="Times New Roman"/>
        </w:rPr>
      </w:pPr>
      <w:r w:rsidRPr="00CB1FF3">
        <w:rPr>
          <w:rFonts w:ascii="Times New Roman" w:hAnsi="Times New Roman" w:cs="Times New Roman"/>
          <w:b/>
          <w:color w:val="2D3748"/>
        </w:rPr>
        <w:t>3.10.2 Evaluation Metrics &amp; Class Imbalance Handling</w:t>
      </w:r>
    </w:p>
    <w:p w14:paraId="5CE8D842"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Severe drought and acute food insecurity events are inherently rare, causing extreme class imbalance (e.g., IPC Phase 4/5 representing &lt;10% of historical woreda-months). Relying on raw classification accuracy introduces catastrophic bias. Model performance is comprehensively evaluated using:</w:t>
      </w:r>
    </w:p>
    <w:p w14:paraId="6BBD43AD"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color w:val="2D3748"/>
          <w:sz w:val="21"/>
        </w:rPr>
        <w:t>Precision, Recall (Probability of Detection [POD]), Macro-averaged F1-Score, Receiver Operating Characteristic Area Under Curve (ROC-AUC), and Precision-Recall Area Under Curve (PR-AUC).</w:t>
      </w:r>
    </w:p>
    <w:p w14:paraId="56DA2CAC"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color w:val="2D3748"/>
          <w:sz w:val="21"/>
        </w:rPr>
        <w:t>Continuous error metrics: Root Mean Square Error (RMSE) and Mean Absolute Error (MAE) for continuous Sc-PDSI and SPI predictions.</w:t>
      </w:r>
    </w:p>
    <w:p w14:paraId="0AF0A0D3"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color w:val="2D3748"/>
          <w:sz w:val="21"/>
        </w:rPr>
        <w:lastRenderedPageBreak/>
        <w:t>Probabilistic calibration: Brier Skill Score (BSS) and Reliability Calibration Diagrams assessing whether predicted probabilities reflect observed empirical frequencies.</w:t>
      </w:r>
    </w:p>
    <w:p w14:paraId="4C566610"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color w:val="2D3748"/>
          <w:sz w:val="21"/>
        </w:rPr>
        <w:t>Class Imbalance Mitigation: Focal Loss with focusing parameter γ = 2.0 to down-weight easy negative examples, paired with class-weighted cross-entropy loss. Synthetic Minority Over-sampling Technique (SMOTE) is applied strictly within training folds only.</w:t>
      </w:r>
    </w:p>
    <w:p w14:paraId="2996627C" w14:textId="77777777" w:rsidR="000D51DB" w:rsidRPr="00CB1FF3" w:rsidRDefault="00CB1FF3" w:rsidP="00CB1FF3">
      <w:pPr>
        <w:keepNext/>
        <w:spacing w:before="240" w:after="80"/>
        <w:jc w:val="both"/>
        <w:rPr>
          <w:rFonts w:ascii="Times New Roman" w:hAnsi="Times New Roman" w:cs="Times New Roman"/>
        </w:rPr>
      </w:pPr>
      <w:r w:rsidRPr="00CB1FF3">
        <w:rPr>
          <w:rFonts w:ascii="Times New Roman" w:hAnsi="Times New Roman" w:cs="Times New Roman"/>
          <w:b/>
          <w:color w:val="2B6CB0"/>
          <w:sz w:val="24"/>
        </w:rPr>
        <w:t>3.11 Software Engineering, Deployment Architecture and User Delivery</w:t>
      </w:r>
    </w:p>
    <w:p w14:paraId="094CED64"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AgriMinds / Hararghe AgroAlert AI is constructed as a production-grade, cloud-native enterprise system designed for high concurrency, military-grade security, and offline resilience:</w:t>
      </w:r>
    </w:p>
    <w:p w14:paraId="673BCD99"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Backend Microservice Core: </w:t>
      </w:r>
      <w:r w:rsidRPr="00CB1FF3">
        <w:rPr>
          <w:rFonts w:ascii="Times New Roman" w:hAnsi="Times New Roman" w:cs="Times New Roman"/>
          <w:color w:val="2D3748"/>
          <w:sz w:val="21"/>
        </w:rPr>
        <w:t>Engineered with Python 3.12, FastAPI, and async SQLAlchemy 2. Employs Pydantic v2 schemas for strict OpenAPI 3.1 contracts. Shared TypeScript types (@agriminds/api-types) prevent schema drift across web and mobile clients.</w:t>
      </w:r>
    </w:p>
    <w:p w14:paraId="7C4B503A"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Multi-Tier Security &amp; Authentication: </w:t>
      </w:r>
      <w:r w:rsidRPr="00CB1FF3">
        <w:rPr>
          <w:rFonts w:ascii="Times New Roman" w:hAnsi="Times New Roman" w:cs="Times New Roman"/>
          <w:color w:val="2D3748"/>
          <w:sz w:val="21"/>
        </w:rPr>
        <w:t>Passwords encrypted with Argon2id (19 MiB memory cost, 2 iterations). Sign-in uses constant-time comparisons with 15-minute account lockout after 8 failed attempts. 15-minute JWT access tokens paired with 14-day rotating SHA-256 refresh tokens with automatic theft revocation.</w:t>
      </w:r>
    </w:p>
    <w:p w14:paraId="7051C59E"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Relational Schema &amp; Analytics Star Schema: </w:t>
      </w:r>
      <w:r w:rsidRPr="00CB1FF3">
        <w:rPr>
          <w:rFonts w:ascii="Times New Roman" w:hAnsi="Times New Roman" w:cs="Times New Roman"/>
          <w:color w:val="2D3748"/>
          <w:sz w:val="21"/>
        </w:rPr>
        <w:t>PostgreSQL 17 enforces relational foreign keys across woredas, accounts, farm plots, and advisory audit logs. A decoupled Star Schema (analytics schema: dim_woreda, dim_crop, fact_farm, fact_advisory, fact_risk) is queried by read-only user agriminds_bi, powering embedded self-hosted Metabase BI dashboards without commercial licensing.</w:t>
      </w:r>
    </w:p>
    <w:p w14:paraId="0C1724AE"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Web Command Centre: </w:t>
      </w:r>
      <w:r w:rsidRPr="00CB1FF3">
        <w:rPr>
          <w:rFonts w:ascii="Times New Roman" w:hAnsi="Times New Roman" w:cs="Times New Roman"/>
          <w:color w:val="2D3748"/>
          <w:sz w:val="21"/>
        </w:rPr>
        <w:t>Built with Next.js 16 (App Router), React 19, and Tailwind CSS v4. Features role-scoped tenancy: Ministers view watershed-wide choropleths and risk exposure (/ministry); Development Agents are scoped strictly to their woreda; Farmers view plot risk badges, advisory recommendations, and 'Confirm Read' buttons (/farm).</w:t>
      </w:r>
    </w:p>
    <w:p w14:paraId="6EE6D870"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Offline-First Mobile Field Application: </w:t>
      </w:r>
      <w:r w:rsidRPr="00CB1FF3">
        <w:rPr>
          <w:rFonts w:ascii="Times New Roman" w:hAnsi="Times New Roman" w:cs="Times New Roman"/>
          <w:color w:val="2D3748"/>
          <w:sz w:val="21"/>
        </w:rPr>
        <w:t>Built with Expo / React Native, persisted to AsyncStorage via TanStack Query. Caches grids and advisories for full offline operation in remote kebeles. Features an ergonomic 9-key ThumbPad on-screen directional keypad for one-handed field navigation. Fully localized in English, Amharic, and Afaan Oromoo.</w:t>
      </w:r>
    </w:p>
    <w:p w14:paraId="290A277E"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Operational Runbook &amp; DevOps: </w:t>
      </w:r>
      <w:r w:rsidRPr="00CB1FF3">
        <w:rPr>
          <w:rFonts w:ascii="Times New Roman" w:hAnsi="Times New Roman" w:cs="Times New Roman"/>
          <w:color w:val="2D3748"/>
          <w:sz w:val="21"/>
        </w:rPr>
        <w:t>Standardized Makefile automation: 'make up' (starts Docker Compose stack), 'make ingest' (downloads public datasets), 'make train' (executes full deep learning pipeline), 'make test' (runs pytest and Vitest suites).</w:t>
      </w:r>
    </w:p>
    <w:p w14:paraId="0599C858" w14:textId="77777777" w:rsidR="000D51DB" w:rsidRPr="00CB1FF3" w:rsidRDefault="00CB1FF3" w:rsidP="00CB1FF3">
      <w:pPr>
        <w:keepNext/>
        <w:spacing w:before="240" w:after="80"/>
        <w:jc w:val="both"/>
        <w:rPr>
          <w:rFonts w:ascii="Times New Roman" w:hAnsi="Times New Roman" w:cs="Times New Roman"/>
        </w:rPr>
      </w:pPr>
      <w:r w:rsidRPr="00CB1FF3">
        <w:rPr>
          <w:rFonts w:ascii="Times New Roman" w:hAnsi="Times New Roman" w:cs="Times New Roman"/>
          <w:b/>
          <w:color w:val="2B6CB0"/>
          <w:sz w:val="24"/>
        </w:rPr>
        <w:t>3.12 Ethical Considerations, Data Governance and Reproducibility Protocols</w:t>
      </w:r>
    </w:p>
    <w:p w14:paraId="77A79AF4"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The research adheres to strict ethical and operational standards:</w:t>
      </w:r>
    </w:p>
    <w:p w14:paraId="73F06B50"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color w:val="2D3748"/>
          <w:sz w:val="21"/>
        </w:rPr>
        <w:t>All spatial data utilized are anonymized and aggregated to woreda administrative levels or 8×8 topographic grid cells. No personally identifiable smallholder information is stored or exposed.</w:t>
      </w:r>
    </w:p>
    <w:p w14:paraId="6951D2D2"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color w:val="2D3748"/>
          <w:sz w:val="21"/>
        </w:rPr>
        <w:t>The system strictly enforces a human-in-the-loop decision paradigm. Model outputs are explicitly communicated as decision-support evidence; they never trigger automated relief actions or override statutory human authority.</w:t>
      </w:r>
    </w:p>
    <w:p w14:paraId="0311BEC0"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color w:val="2D3748"/>
          <w:sz w:val="21"/>
        </w:rPr>
        <w:t>Model explanations (SHAP / Grad-CAM) identify empirical associations rather than absolute causal certainty, preventing unwarranted conclusions.</w:t>
      </w:r>
    </w:p>
    <w:p w14:paraId="5ACF73E9"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color w:val="2D3748"/>
          <w:sz w:val="21"/>
        </w:rPr>
        <w:t>All software repositories, Docker containers, training seeds, and feature pipelines are version-controlled under an open-source MIT license, ensuring zero-barrier academic reproducibility.</w:t>
      </w:r>
    </w:p>
    <w:p w14:paraId="639E9945" w14:textId="77777777" w:rsidR="000D51DB" w:rsidRPr="00CB1FF3" w:rsidRDefault="00CB1FF3" w:rsidP="00CB1FF3">
      <w:pPr>
        <w:jc w:val="both"/>
        <w:rPr>
          <w:rFonts w:ascii="Times New Roman" w:hAnsi="Times New Roman" w:cs="Times New Roman"/>
        </w:rPr>
      </w:pPr>
      <w:r w:rsidRPr="00CB1FF3">
        <w:rPr>
          <w:rFonts w:ascii="Times New Roman" w:hAnsi="Times New Roman" w:cs="Times New Roman"/>
        </w:rPr>
        <w:br w:type="page"/>
      </w:r>
    </w:p>
    <w:p w14:paraId="566AE4ED" w14:textId="77777777" w:rsidR="000D51DB" w:rsidRPr="00CB1FF3" w:rsidRDefault="00CB1FF3" w:rsidP="00CB1FF3">
      <w:pPr>
        <w:keepNext/>
        <w:spacing w:before="320" w:after="120"/>
        <w:jc w:val="both"/>
        <w:rPr>
          <w:rFonts w:ascii="Times New Roman" w:hAnsi="Times New Roman" w:cs="Times New Roman"/>
        </w:rPr>
      </w:pPr>
      <w:r w:rsidRPr="00CB1FF3">
        <w:rPr>
          <w:rFonts w:ascii="Times New Roman" w:hAnsi="Times New Roman" w:cs="Times New Roman"/>
          <w:b/>
          <w:color w:val="1A365D"/>
          <w:sz w:val="28"/>
        </w:rPr>
        <w:lastRenderedPageBreak/>
        <w:t>CHAPTER FOUR: WORK PLAN, RESOURCE REQUIREMENTS AND DELIVERABLES</w:t>
      </w:r>
    </w:p>
    <w:p w14:paraId="5DDD3169" w14:textId="77777777" w:rsidR="000D51DB" w:rsidRPr="00CB1FF3" w:rsidRDefault="00CB1FF3" w:rsidP="00CB1FF3">
      <w:pPr>
        <w:keepNext/>
        <w:spacing w:before="240" w:after="80"/>
        <w:jc w:val="both"/>
        <w:rPr>
          <w:rFonts w:ascii="Times New Roman" w:hAnsi="Times New Roman" w:cs="Times New Roman"/>
        </w:rPr>
      </w:pPr>
      <w:r w:rsidRPr="00CB1FF3">
        <w:rPr>
          <w:rFonts w:ascii="Times New Roman" w:hAnsi="Times New Roman" w:cs="Times New Roman"/>
          <w:b/>
          <w:color w:val="2B6CB0"/>
          <w:sz w:val="24"/>
        </w:rPr>
        <w:t>4.1 Chronological Research Schedule and Milestone Gantt Chart</w:t>
      </w:r>
    </w:p>
    <w:p w14:paraId="09BD76C5"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The proposed master's research is structured across a rigorous 12-month execution lifecycle organized into six discrete, interdependent work packages (WPs) spanning from conceptualization to thesis defense:</w:t>
      </w:r>
    </w:p>
    <w:tbl>
      <w:tblPr>
        <w:tblW w:w="0" w:type="auto"/>
        <w:jc w:val="center"/>
        <w:tblBorders>
          <w:top w:val="single" w:sz="6" w:space="0" w:color="CBD5E0"/>
          <w:bottom w:val="single" w:sz="6" w:space="0" w:color="CBD5E0"/>
          <w:insideH w:val="single" w:sz="4" w:space="0" w:color="CBD5E0"/>
        </w:tblBorders>
        <w:tblLook w:val="04A0" w:firstRow="1" w:lastRow="0" w:firstColumn="1" w:lastColumn="0" w:noHBand="0" w:noVBand="1"/>
      </w:tblPr>
      <w:tblGrid>
        <w:gridCol w:w="2016"/>
        <w:gridCol w:w="3600"/>
        <w:gridCol w:w="1584"/>
        <w:gridCol w:w="2160"/>
      </w:tblGrid>
      <w:tr w:rsidR="000D51DB" w:rsidRPr="00CB1FF3" w14:paraId="631EA79A" w14:textId="77777777">
        <w:trPr>
          <w:jc w:val="center"/>
        </w:trPr>
        <w:tc>
          <w:tcPr>
            <w:tcW w:w="2016" w:type="dxa"/>
            <w:shd w:val="clear" w:color="auto" w:fill="1A365D"/>
            <w:tcMar>
              <w:top w:w="120" w:type="dxa"/>
              <w:left w:w="150" w:type="dxa"/>
              <w:bottom w:w="120" w:type="dxa"/>
              <w:right w:w="150" w:type="dxa"/>
            </w:tcMar>
          </w:tcPr>
          <w:p w14:paraId="44820D14"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b/>
                <w:color w:val="FFFFFF"/>
                <w:sz w:val="19"/>
              </w:rPr>
              <w:t>Work Package (WP)</w:t>
            </w:r>
          </w:p>
        </w:tc>
        <w:tc>
          <w:tcPr>
            <w:tcW w:w="3600" w:type="dxa"/>
            <w:shd w:val="clear" w:color="auto" w:fill="1A365D"/>
            <w:tcMar>
              <w:top w:w="120" w:type="dxa"/>
              <w:left w:w="150" w:type="dxa"/>
              <w:bottom w:w="120" w:type="dxa"/>
              <w:right w:w="150" w:type="dxa"/>
            </w:tcMar>
          </w:tcPr>
          <w:p w14:paraId="4C3C83DE"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b/>
                <w:color w:val="FFFFFF"/>
                <w:sz w:val="19"/>
              </w:rPr>
              <w:t>Major Research Activities &amp; Computational Milestones</w:t>
            </w:r>
          </w:p>
        </w:tc>
        <w:tc>
          <w:tcPr>
            <w:tcW w:w="1584" w:type="dxa"/>
            <w:shd w:val="clear" w:color="auto" w:fill="1A365D"/>
            <w:tcMar>
              <w:top w:w="120" w:type="dxa"/>
              <w:left w:w="150" w:type="dxa"/>
              <w:bottom w:w="120" w:type="dxa"/>
              <w:right w:w="150" w:type="dxa"/>
            </w:tcMar>
          </w:tcPr>
          <w:p w14:paraId="489BC00D"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b/>
                <w:color w:val="FFFFFF"/>
                <w:sz w:val="19"/>
              </w:rPr>
              <w:t>Time Horizon (Months)</w:t>
            </w:r>
          </w:p>
        </w:tc>
        <w:tc>
          <w:tcPr>
            <w:tcW w:w="2160" w:type="dxa"/>
            <w:shd w:val="clear" w:color="auto" w:fill="1A365D"/>
            <w:tcMar>
              <w:top w:w="120" w:type="dxa"/>
              <w:left w:w="150" w:type="dxa"/>
              <w:bottom w:w="120" w:type="dxa"/>
              <w:right w:w="150" w:type="dxa"/>
            </w:tcMar>
          </w:tcPr>
          <w:p w14:paraId="1A239BDA"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b/>
                <w:color w:val="FFFFFF"/>
                <w:sz w:val="19"/>
              </w:rPr>
              <w:t>Verifiable Output / Milestone</w:t>
            </w:r>
          </w:p>
        </w:tc>
      </w:tr>
      <w:tr w:rsidR="000D51DB" w:rsidRPr="00CB1FF3" w14:paraId="76D9E1D0" w14:textId="77777777">
        <w:trPr>
          <w:jc w:val="center"/>
        </w:trPr>
        <w:tc>
          <w:tcPr>
            <w:tcW w:w="2016" w:type="dxa"/>
            <w:shd w:val="clear" w:color="auto" w:fill="FFFFFF"/>
            <w:tcMar>
              <w:top w:w="100" w:type="dxa"/>
              <w:left w:w="150" w:type="dxa"/>
              <w:bottom w:w="100" w:type="dxa"/>
              <w:right w:w="150" w:type="dxa"/>
            </w:tcMar>
          </w:tcPr>
          <w:p w14:paraId="2A109BA2"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WP1: Literature Review &amp; Design</w:t>
            </w:r>
          </w:p>
        </w:tc>
        <w:tc>
          <w:tcPr>
            <w:tcW w:w="3600" w:type="dxa"/>
            <w:shd w:val="clear" w:color="auto" w:fill="FFFFFF"/>
            <w:tcMar>
              <w:top w:w="100" w:type="dxa"/>
              <w:left w:w="150" w:type="dxa"/>
              <w:bottom w:w="100" w:type="dxa"/>
              <w:right w:w="150" w:type="dxa"/>
            </w:tcMar>
          </w:tcPr>
          <w:p w14:paraId="5A2F63C7"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Theoretical formulation, parameter bounding, ethics clearance, and conceptual architecture refinement.</w:t>
            </w:r>
          </w:p>
        </w:tc>
        <w:tc>
          <w:tcPr>
            <w:tcW w:w="1584" w:type="dxa"/>
            <w:shd w:val="clear" w:color="auto" w:fill="FFFFFF"/>
            <w:tcMar>
              <w:top w:w="100" w:type="dxa"/>
              <w:left w:w="150" w:type="dxa"/>
              <w:bottom w:w="100" w:type="dxa"/>
              <w:right w:w="150" w:type="dxa"/>
            </w:tcMar>
          </w:tcPr>
          <w:p w14:paraId="67139F89"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Months 1–2</w:t>
            </w:r>
          </w:p>
        </w:tc>
        <w:tc>
          <w:tcPr>
            <w:tcW w:w="2160" w:type="dxa"/>
            <w:shd w:val="clear" w:color="auto" w:fill="FFFFFF"/>
            <w:tcMar>
              <w:top w:w="100" w:type="dxa"/>
              <w:left w:w="150" w:type="dxa"/>
              <w:bottom w:w="100" w:type="dxa"/>
              <w:right w:w="150" w:type="dxa"/>
            </w:tcMar>
          </w:tcPr>
          <w:p w14:paraId="76DC273A"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Approved research concept note &amp; formal literature synthesis dossier</w:t>
            </w:r>
          </w:p>
        </w:tc>
      </w:tr>
      <w:tr w:rsidR="000D51DB" w:rsidRPr="00CB1FF3" w14:paraId="57E0C875" w14:textId="77777777">
        <w:trPr>
          <w:jc w:val="center"/>
        </w:trPr>
        <w:tc>
          <w:tcPr>
            <w:tcW w:w="2016" w:type="dxa"/>
            <w:shd w:val="clear" w:color="auto" w:fill="F7FAFC"/>
            <w:tcMar>
              <w:top w:w="100" w:type="dxa"/>
              <w:left w:w="150" w:type="dxa"/>
              <w:bottom w:w="100" w:type="dxa"/>
              <w:right w:w="150" w:type="dxa"/>
            </w:tcMar>
          </w:tcPr>
          <w:p w14:paraId="1FB8F19C"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WP2: Data Ingestion &amp; Harmonization</w:t>
            </w:r>
          </w:p>
        </w:tc>
        <w:tc>
          <w:tcPr>
            <w:tcW w:w="3600" w:type="dxa"/>
            <w:shd w:val="clear" w:color="auto" w:fill="F7FAFC"/>
            <w:tcMar>
              <w:top w:w="100" w:type="dxa"/>
              <w:left w:w="150" w:type="dxa"/>
              <w:bottom w:w="100" w:type="dxa"/>
              <w:right w:w="150" w:type="dxa"/>
            </w:tcMar>
          </w:tcPr>
          <w:p w14:paraId="1519A9B1"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Automated connectors for NOAA, CHIRPS, SMAP, MODIS, ERA5, SoilGrids, and FEWS NET; SHA-256 manifest system.</w:t>
            </w:r>
          </w:p>
        </w:tc>
        <w:tc>
          <w:tcPr>
            <w:tcW w:w="1584" w:type="dxa"/>
            <w:shd w:val="clear" w:color="auto" w:fill="F7FAFC"/>
            <w:tcMar>
              <w:top w:w="100" w:type="dxa"/>
              <w:left w:w="150" w:type="dxa"/>
              <w:bottom w:w="100" w:type="dxa"/>
              <w:right w:w="150" w:type="dxa"/>
            </w:tcMar>
          </w:tcPr>
          <w:p w14:paraId="148FB1BD"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Months 3–4</w:t>
            </w:r>
          </w:p>
        </w:tc>
        <w:tc>
          <w:tcPr>
            <w:tcW w:w="2160" w:type="dxa"/>
            <w:shd w:val="clear" w:color="auto" w:fill="F7FAFC"/>
            <w:tcMar>
              <w:top w:w="100" w:type="dxa"/>
              <w:left w:w="150" w:type="dxa"/>
              <w:bottom w:w="100" w:type="dxa"/>
              <w:right w:w="150" w:type="dxa"/>
            </w:tcMar>
          </w:tcPr>
          <w:p w14:paraId="67A2493E"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Standardized Woreda × Month master data cube with cryptographic checksums</w:t>
            </w:r>
          </w:p>
        </w:tc>
      </w:tr>
      <w:tr w:rsidR="000D51DB" w:rsidRPr="00CB1FF3" w14:paraId="4CB58246" w14:textId="77777777">
        <w:trPr>
          <w:jc w:val="center"/>
        </w:trPr>
        <w:tc>
          <w:tcPr>
            <w:tcW w:w="2016" w:type="dxa"/>
            <w:shd w:val="clear" w:color="auto" w:fill="FFFFFF"/>
            <w:tcMar>
              <w:top w:w="100" w:type="dxa"/>
              <w:left w:w="150" w:type="dxa"/>
              <w:bottom w:w="100" w:type="dxa"/>
              <w:right w:w="150" w:type="dxa"/>
            </w:tcMar>
          </w:tcPr>
          <w:p w14:paraId="657710C9"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WP3: Deep Learning &amp; Benchmarking</w:t>
            </w:r>
          </w:p>
        </w:tc>
        <w:tc>
          <w:tcPr>
            <w:tcW w:w="3600" w:type="dxa"/>
            <w:shd w:val="clear" w:color="auto" w:fill="FFFFFF"/>
            <w:tcMar>
              <w:top w:w="100" w:type="dxa"/>
              <w:left w:w="150" w:type="dxa"/>
              <w:bottom w:w="100" w:type="dxa"/>
              <w:right w:w="150" w:type="dxa"/>
            </w:tcMar>
          </w:tcPr>
          <w:p w14:paraId="23CBD885"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Conv1D-LSTM ENSO model; ResNet-50 patch encoder; LSTM temporal branch; FFT harmonic branch; Gated Fusion engine.</w:t>
            </w:r>
          </w:p>
        </w:tc>
        <w:tc>
          <w:tcPr>
            <w:tcW w:w="1584" w:type="dxa"/>
            <w:shd w:val="clear" w:color="auto" w:fill="FFFFFF"/>
            <w:tcMar>
              <w:top w:w="100" w:type="dxa"/>
              <w:left w:w="150" w:type="dxa"/>
              <w:bottom w:w="100" w:type="dxa"/>
              <w:right w:w="150" w:type="dxa"/>
            </w:tcMar>
          </w:tcPr>
          <w:p w14:paraId="5E3E3690"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Months 5–6</w:t>
            </w:r>
          </w:p>
        </w:tc>
        <w:tc>
          <w:tcPr>
            <w:tcW w:w="2160" w:type="dxa"/>
            <w:shd w:val="clear" w:color="auto" w:fill="FFFFFF"/>
            <w:tcMar>
              <w:top w:w="100" w:type="dxa"/>
              <w:left w:w="150" w:type="dxa"/>
              <w:bottom w:w="100" w:type="dxa"/>
              <w:right w:w="150" w:type="dxa"/>
            </w:tcMar>
          </w:tcPr>
          <w:p w14:paraId="13C020C3"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Trained model checkpoints and comparative empirical benchmark tables</w:t>
            </w:r>
          </w:p>
        </w:tc>
      </w:tr>
      <w:tr w:rsidR="000D51DB" w:rsidRPr="00CB1FF3" w14:paraId="3F015288" w14:textId="77777777">
        <w:trPr>
          <w:jc w:val="center"/>
        </w:trPr>
        <w:tc>
          <w:tcPr>
            <w:tcW w:w="2016" w:type="dxa"/>
            <w:shd w:val="clear" w:color="auto" w:fill="F7FAFC"/>
            <w:tcMar>
              <w:top w:w="100" w:type="dxa"/>
              <w:left w:w="150" w:type="dxa"/>
              <w:bottom w:w="100" w:type="dxa"/>
              <w:right w:w="150" w:type="dxa"/>
            </w:tcMar>
          </w:tcPr>
          <w:p w14:paraId="6A53A26D"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WP4: Decision Support, IEK &amp; XAI</w:t>
            </w:r>
          </w:p>
        </w:tc>
        <w:tc>
          <w:tcPr>
            <w:tcW w:w="3600" w:type="dxa"/>
            <w:shd w:val="clear" w:color="auto" w:fill="F7FAFC"/>
            <w:tcMar>
              <w:top w:w="100" w:type="dxa"/>
              <w:left w:w="150" w:type="dxa"/>
              <w:bottom w:w="100" w:type="dxa"/>
              <w:right w:w="150" w:type="dxa"/>
            </w:tcMar>
          </w:tcPr>
          <w:p w14:paraId="258B1820"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Crop sensitivity multipliers (s); 4-tier prescriptive matrix; IEK consensus engine; SHAP, Grad-CAM, Neo4j graph.</w:t>
            </w:r>
          </w:p>
        </w:tc>
        <w:tc>
          <w:tcPr>
            <w:tcW w:w="1584" w:type="dxa"/>
            <w:shd w:val="clear" w:color="auto" w:fill="F7FAFC"/>
            <w:tcMar>
              <w:top w:w="100" w:type="dxa"/>
              <w:left w:w="150" w:type="dxa"/>
              <w:bottom w:w="100" w:type="dxa"/>
              <w:right w:w="150" w:type="dxa"/>
            </w:tcMar>
          </w:tcPr>
          <w:p w14:paraId="64294602"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Months 7–8</w:t>
            </w:r>
          </w:p>
        </w:tc>
        <w:tc>
          <w:tcPr>
            <w:tcW w:w="2160" w:type="dxa"/>
            <w:shd w:val="clear" w:color="auto" w:fill="F7FAFC"/>
            <w:tcMar>
              <w:top w:w="100" w:type="dxa"/>
              <w:left w:w="150" w:type="dxa"/>
              <w:bottom w:w="100" w:type="dxa"/>
              <w:right w:w="150" w:type="dxa"/>
            </w:tcMar>
          </w:tcPr>
          <w:p w14:paraId="1E6FB862"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Interpretable advisory engine, XAI saliency visualizers, populated Neo4j database</w:t>
            </w:r>
          </w:p>
        </w:tc>
      </w:tr>
      <w:tr w:rsidR="000D51DB" w:rsidRPr="00CB1FF3" w14:paraId="59823B3D" w14:textId="77777777">
        <w:trPr>
          <w:jc w:val="center"/>
        </w:trPr>
        <w:tc>
          <w:tcPr>
            <w:tcW w:w="2016" w:type="dxa"/>
            <w:shd w:val="clear" w:color="auto" w:fill="FFFFFF"/>
            <w:tcMar>
              <w:top w:w="100" w:type="dxa"/>
              <w:left w:w="150" w:type="dxa"/>
              <w:bottom w:w="100" w:type="dxa"/>
              <w:right w:w="150" w:type="dxa"/>
            </w:tcMar>
          </w:tcPr>
          <w:p w14:paraId="30C7F776"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WP5: Software &amp; Cloud Deployment</w:t>
            </w:r>
          </w:p>
        </w:tc>
        <w:tc>
          <w:tcPr>
            <w:tcW w:w="3600" w:type="dxa"/>
            <w:shd w:val="clear" w:color="auto" w:fill="FFFFFF"/>
            <w:tcMar>
              <w:top w:w="100" w:type="dxa"/>
              <w:left w:w="150" w:type="dxa"/>
              <w:bottom w:w="100" w:type="dxa"/>
              <w:right w:w="150" w:type="dxa"/>
            </w:tcMar>
          </w:tcPr>
          <w:p w14:paraId="026D2B5C"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FastAPI async microservice, PostgreSQL 17 Star Schema, Next.js 16 Web Command Centre, Expo offline mobile app.</w:t>
            </w:r>
          </w:p>
        </w:tc>
        <w:tc>
          <w:tcPr>
            <w:tcW w:w="1584" w:type="dxa"/>
            <w:shd w:val="clear" w:color="auto" w:fill="FFFFFF"/>
            <w:tcMar>
              <w:top w:w="100" w:type="dxa"/>
              <w:left w:w="150" w:type="dxa"/>
              <w:bottom w:w="100" w:type="dxa"/>
              <w:right w:w="150" w:type="dxa"/>
            </w:tcMar>
          </w:tcPr>
          <w:p w14:paraId="31251275"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Months 9–10</w:t>
            </w:r>
          </w:p>
        </w:tc>
        <w:tc>
          <w:tcPr>
            <w:tcW w:w="2160" w:type="dxa"/>
            <w:shd w:val="clear" w:color="auto" w:fill="FFFFFF"/>
            <w:tcMar>
              <w:top w:w="100" w:type="dxa"/>
              <w:left w:w="150" w:type="dxa"/>
              <w:bottom w:w="100" w:type="dxa"/>
              <w:right w:w="150" w:type="dxa"/>
            </w:tcMar>
          </w:tcPr>
          <w:p w14:paraId="7641E885"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Production-grade cloud-hosted prototype and containerized Docker images</w:t>
            </w:r>
          </w:p>
        </w:tc>
      </w:tr>
      <w:tr w:rsidR="000D51DB" w:rsidRPr="00CB1FF3" w14:paraId="695113C2" w14:textId="77777777">
        <w:trPr>
          <w:jc w:val="center"/>
        </w:trPr>
        <w:tc>
          <w:tcPr>
            <w:tcW w:w="2016" w:type="dxa"/>
            <w:shd w:val="clear" w:color="auto" w:fill="F7FAFC"/>
            <w:tcMar>
              <w:top w:w="100" w:type="dxa"/>
              <w:left w:w="150" w:type="dxa"/>
              <w:bottom w:w="100" w:type="dxa"/>
              <w:right w:w="150" w:type="dxa"/>
            </w:tcMar>
          </w:tcPr>
          <w:p w14:paraId="742775FD"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WP6: Evaluation &amp; Defense</w:t>
            </w:r>
          </w:p>
        </w:tc>
        <w:tc>
          <w:tcPr>
            <w:tcW w:w="3600" w:type="dxa"/>
            <w:shd w:val="clear" w:color="auto" w:fill="F7FAFC"/>
            <w:tcMar>
              <w:top w:w="100" w:type="dxa"/>
              <w:left w:w="150" w:type="dxa"/>
              <w:bottom w:w="100" w:type="dxa"/>
              <w:right w:w="150" w:type="dxa"/>
            </w:tcMar>
          </w:tcPr>
          <w:p w14:paraId="28E65B28"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Independent out-of-sample hindcasting (2024–2026), BSS gating, thesis manuscript writing, and final defense.</w:t>
            </w:r>
          </w:p>
        </w:tc>
        <w:tc>
          <w:tcPr>
            <w:tcW w:w="1584" w:type="dxa"/>
            <w:shd w:val="clear" w:color="auto" w:fill="F7FAFC"/>
            <w:tcMar>
              <w:top w:w="100" w:type="dxa"/>
              <w:left w:w="150" w:type="dxa"/>
              <w:bottom w:w="100" w:type="dxa"/>
              <w:right w:w="150" w:type="dxa"/>
            </w:tcMar>
          </w:tcPr>
          <w:p w14:paraId="2843C4E8"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Months 11–12</w:t>
            </w:r>
          </w:p>
        </w:tc>
        <w:tc>
          <w:tcPr>
            <w:tcW w:w="2160" w:type="dxa"/>
            <w:shd w:val="clear" w:color="auto" w:fill="F7FAFC"/>
            <w:tcMar>
              <w:top w:w="100" w:type="dxa"/>
              <w:left w:w="150" w:type="dxa"/>
              <w:bottom w:w="100" w:type="dxa"/>
              <w:right w:w="150" w:type="dxa"/>
            </w:tcMar>
          </w:tcPr>
          <w:p w14:paraId="4AE5B4AC"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Completed MSc thesis, peer-reviewed manuscript submission, successful defense</w:t>
            </w:r>
          </w:p>
        </w:tc>
      </w:tr>
    </w:tbl>
    <w:p w14:paraId="666FDB2E" w14:textId="77777777" w:rsidR="000D51DB" w:rsidRPr="00CB1FF3" w:rsidRDefault="00CB1FF3" w:rsidP="00CB1FF3">
      <w:pPr>
        <w:keepNext/>
        <w:spacing w:before="240" w:after="80"/>
        <w:jc w:val="both"/>
        <w:rPr>
          <w:rFonts w:ascii="Times New Roman" w:hAnsi="Times New Roman" w:cs="Times New Roman"/>
        </w:rPr>
      </w:pPr>
      <w:r w:rsidRPr="00CB1FF3">
        <w:rPr>
          <w:rFonts w:ascii="Times New Roman" w:hAnsi="Times New Roman" w:cs="Times New Roman"/>
          <w:b/>
          <w:color w:val="2B6CB0"/>
          <w:sz w:val="24"/>
        </w:rPr>
        <w:t>4.2 Computational, Hardware and Software Resource Requirements</w:t>
      </w:r>
    </w:p>
    <w:p w14:paraId="6C386E84"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Hardware &amp; High-Performance Computing: </w:t>
      </w:r>
      <w:r w:rsidRPr="00CB1FF3">
        <w:rPr>
          <w:rFonts w:ascii="Times New Roman" w:hAnsi="Times New Roman" w:cs="Times New Roman"/>
          <w:color w:val="2D3748"/>
          <w:sz w:val="21"/>
        </w:rPr>
        <w:t>NVIDIA RTX 4090 / A100 GPU workstation (or Google Cloud Platform / Colab Pro enterprise instances) equipped with 32 GB+ VRAM, 64 GB system RAM, and 2 TB high-speed NVMe storage for processing multi-spectral satellite rasters.</w:t>
      </w:r>
    </w:p>
    <w:p w14:paraId="4BF4B2FE"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Scientific &amp; ML Software Stack: </w:t>
      </w:r>
      <w:r w:rsidRPr="00CB1FF3">
        <w:rPr>
          <w:rFonts w:ascii="Times New Roman" w:hAnsi="Times New Roman" w:cs="Times New Roman"/>
          <w:color w:val="2D3748"/>
          <w:sz w:val="21"/>
        </w:rPr>
        <w:t>Python 3.12, PyTorch 2.4, Torchvision, Scipy, Scikit-learn, GDAL, Rasterio, GeoPandas, Xarray, NetCDF4, SHAP, and Grad-CAM for machine learning and geospatial engineering.</w:t>
      </w:r>
    </w:p>
    <w:p w14:paraId="058389A0"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lastRenderedPageBreak/>
        <w:t xml:space="preserve">Backend &amp; Database Ecosystem: </w:t>
      </w:r>
      <w:r w:rsidRPr="00CB1FF3">
        <w:rPr>
          <w:rFonts w:ascii="Times New Roman" w:hAnsi="Times New Roman" w:cs="Times New Roman"/>
          <w:color w:val="2D3748"/>
          <w:sz w:val="21"/>
        </w:rPr>
        <w:t>FastAPI, Pydantic v2, SQLAlchemy 2 (async), Alembic, PostgreSQL 17, PostGIS, Redis 7, Neo4j 5.x Graph Database, and Metabase Business Intelligence.</w:t>
      </w:r>
    </w:p>
    <w:p w14:paraId="22438051"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Web &amp; Mobile Frameworks: </w:t>
      </w:r>
      <w:r w:rsidRPr="00CB1FF3">
        <w:rPr>
          <w:rFonts w:ascii="Times New Roman" w:hAnsi="Times New Roman" w:cs="Times New Roman"/>
          <w:color w:val="2D3748"/>
          <w:sz w:val="21"/>
        </w:rPr>
        <w:t>Next.js 16 (App Router), React 19, Tailwind CSS v4, Lucide Icons, Expo / React Native, TanStack Query, and AsyncStorage for multi-platform client delivery.</w:t>
      </w:r>
    </w:p>
    <w:p w14:paraId="129E57F4" w14:textId="77777777" w:rsidR="000D51DB" w:rsidRPr="00CB1FF3" w:rsidRDefault="00CB1FF3" w:rsidP="00CB1FF3">
      <w:pPr>
        <w:keepNext/>
        <w:spacing w:before="240" w:after="80"/>
        <w:jc w:val="both"/>
        <w:rPr>
          <w:rFonts w:ascii="Times New Roman" w:hAnsi="Times New Roman" w:cs="Times New Roman"/>
        </w:rPr>
      </w:pPr>
      <w:r w:rsidRPr="00CB1FF3">
        <w:rPr>
          <w:rFonts w:ascii="Times New Roman" w:hAnsi="Times New Roman" w:cs="Times New Roman"/>
          <w:b/>
          <w:color w:val="2B6CB0"/>
          <w:sz w:val="24"/>
        </w:rPr>
        <w:t>4.3 Expected Scientific and Practical Deliverables</w:t>
      </w:r>
    </w:p>
    <w:p w14:paraId="5FA0EBC7"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1. Master of Science Thesis: </w:t>
      </w:r>
      <w:r w:rsidRPr="00CB1FF3">
        <w:rPr>
          <w:rFonts w:ascii="Times New Roman" w:hAnsi="Times New Roman" w:cs="Times New Roman"/>
          <w:color w:val="2D3748"/>
          <w:sz w:val="21"/>
        </w:rPr>
        <w:t>A finalized, rigorously defended Master of Science thesis manuscript in Data Science fulfilling all academic criteria of Haramaya University.</w:t>
      </w:r>
    </w:p>
    <w:p w14:paraId="3B821DB7"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2. High-Impact Publications: </w:t>
      </w:r>
      <w:r w:rsidRPr="00CB1FF3">
        <w:rPr>
          <w:rFonts w:ascii="Times New Roman" w:hAnsi="Times New Roman" w:cs="Times New Roman"/>
          <w:color w:val="2D3748"/>
          <w:sz w:val="21"/>
        </w:rPr>
        <w:t>At least two peer-reviewed academic manuscripts submitted to high-impact international journals (e.g., Agricultural and Forest Meteorology, Remote Sensing of Environment, or Climate Services).</w:t>
      </w:r>
    </w:p>
    <w:p w14:paraId="09BAC8F4"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3. Open-Source Codebase: </w:t>
      </w:r>
      <w:r w:rsidRPr="00CB1FF3">
        <w:rPr>
          <w:rFonts w:ascii="Times New Roman" w:hAnsi="Times New Roman" w:cs="Times New Roman"/>
          <w:color w:val="2D3748"/>
          <w:sz w:val="21"/>
        </w:rPr>
        <w:t>A production-grade, containerized Docker repository on GitHub with complete CI/CD automation, open-access manifests, and reproducible training runbooks.</w:t>
      </w:r>
    </w:p>
    <w:p w14:paraId="5DBBF974"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4. Operational Decision Platform: </w:t>
      </w:r>
      <w:r w:rsidRPr="00CB1FF3">
        <w:rPr>
          <w:rFonts w:ascii="Times New Roman" w:hAnsi="Times New Roman" w:cs="Times New Roman"/>
          <w:color w:val="2D3748"/>
          <w:sz w:val="21"/>
        </w:rPr>
        <w:t>A live, cloud-deployed decision support platform (Next.js Web Command Centre + Expo offline mobile application) bridging predictive intelligence to agricultural extension personnel.</w:t>
      </w:r>
    </w:p>
    <w:p w14:paraId="0F5DB58E" w14:textId="77777777" w:rsidR="000D51DB" w:rsidRPr="00CB1FF3" w:rsidRDefault="00CB1FF3" w:rsidP="00CB1FF3">
      <w:pPr>
        <w:keepNext/>
        <w:spacing w:before="240" w:after="80"/>
        <w:jc w:val="both"/>
        <w:rPr>
          <w:rFonts w:ascii="Times New Roman" w:hAnsi="Times New Roman" w:cs="Times New Roman"/>
        </w:rPr>
      </w:pPr>
      <w:r w:rsidRPr="00CB1FF3">
        <w:rPr>
          <w:rFonts w:ascii="Times New Roman" w:hAnsi="Times New Roman" w:cs="Times New Roman"/>
          <w:b/>
          <w:color w:val="2B6CB0"/>
          <w:sz w:val="24"/>
        </w:rPr>
        <w:t>4.4 Risk Management and Mitigation Framework</w:t>
      </w:r>
    </w:p>
    <w:tbl>
      <w:tblPr>
        <w:tblW w:w="0" w:type="auto"/>
        <w:jc w:val="center"/>
        <w:tblBorders>
          <w:top w:val="single" w:sz="6" w:space="0" w:color="CBD5E0"/>
          <w:bottom w:val="single" w:sz="6" w:space="0" w:color="CBD5E0"/>
          <w:insideH w:val="single" w:sz="4" w:space="0" w:color="CBD5E0"/>
        </w:tblBorders>
        <w:tblLook w:val="04A0" w:firstRow="1" w:lastRow="0" w:firstColumn="1" w:lastColumn="0" w:noHBand="0" w:noVBand="1"/>
      </w:tblPr>
      <w:tblGrid>
        <w:gridCol w:w="2592"/>
        <w:gridCol w:w="2160"/>
        <w:gridCol w:w="4608"/>
      </w:tblGrid>
      <w:tr w:rsidR="000D51DB" w:rsidRPr="00CB1FF3" w14:paraId="173A1A21" w14:textId="77777777">
        <w:trPr>
          <w:jc w:val="center"/>
        </w:trPr>
        <w:tc>
          <w:tcPr>
            <w:tcW w:w="2592" w:type="dxa"/>
            <w:shd w:val="clear" w:color="auto" w:fill="1A365D"/>
            <w:tcMar>
              <w:top w:w="120" w:type="dxa"/>
              <w:left w:w="150" w:type="dxa"/>
              <w:bottom w:w="120" w:type="dxa"/>
              <w:right w:w="150" w:type="dxa"/>
            </w:tcMar>
          </w:tcPr>
          <w:p w14:paraId="190AB6F8"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b/>
                <w:color w:val="FFFFFF"/>
                <w:sz w:val="19"/>
              </w:rPr>
              <w:t>Identified Research Risk</w:t>
            </w:r>
          </w:p>
        </w:tc>
        <w:tc>
          <w:tcPr>
            <w:tcW w:w="2160" w:type="dxa"/>
            <w:shd w:val="clear" w:color="auto" w:fill="1A365D"/>
            <w:tcMar>
              <w:top w:w="120" w:type="dxa"/>
              <w:left w:w="150" w:type="dxa"/>
              <w:bottom w:w="120" w:type="dxa"/>
              <w:right w:w="150" w:type="dxa"/>
            </w:tcMar>
          </w:tcPr>
          <w:p w14:paraId="4B1A0C47"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b/>
                <w:color w:val="FFFFFF"/>
                <w:sz w:val="19"/>
              </w:rPr>
              <w:t>Severity &amp; Likelihood</w:t>
            </w:r>
          </w:p>
        </w:tc>
        <w:tc>
          <w:tcPr>
            <w:tcW w:w="4608" w:type="dxa"/>
            <w:shd w:val="clear" w:color="auto" w:fill="1A365D"/>
            <w:tcMar>
              <w:top w:w="120" w:type="dxa"/>
              <w:left w:w="150" w:type="dxa"/>
              <w:bottom w:w="120" w:type="dxa"/>
              <w:right w:w="150" w:type="dxa"/>
            </w:tcMar>
          </w:tcPr>
          <w:p w14:paraId="4155E4DF"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b/>
                <w:color w:val="FFFFFF"/>
                <w:sz w:val="19"/>
              </w:rPr>
              <w:t>Concrete Technical &amp; Operational Mitigation Strategy</w:t>
            </w:r>
          </w:p>
        </w:tc>
      </w:tr>
      <w:tr w:rsidR="000D51DB" w:rsidRPr="00CB1FF3" w14:paraId="5FB09BF2" w14:textId="77777777">
        <w:trPr>
          <w:jc w:val="center"/>
        </w:trPr>
        <w:tc>
          <w:tcPr>
            <w:tcW w:w="2592" w:type="dxa"/>
            <w:shd w:val="clear" w:color="auto" w:fill="FFFFFF"/>
            <w:tcMar>
              <w:top w:w="100" w:type="dxa"/>
              <w:left w:w="150" w:type="dxa"/>
              <w:bottom w:w="100" w:type="dxa"/>
              <w:right w:w="150" w:type="dxa"/>
            </w:tcMar>
          </w:tcPr>
          <w:p w14:paraId="2B0912AC"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Severe cloud contamination in optical MODIS imagery during peak Kiremt rains</w:t>
            </w:r>
          </w:p>
        </w:tc>
        <w:tc>
          <w:tcPr>
            <w:tcW w:w="2160" w:type="dxa"/>
            <w:shd w:val="clear" w:color="auto" w:fill="FFFFFF"/>
            <w:tcMar>
              <w:top w:w="100" w:type="dxa"/>
              <w:left w:w="150" w:type="dxa"/>
              <w:bottom w:w="100" w:type="dxa"/>
              <w:right w:w="150" w:type="dxa"/>
            </w:tcMar>
          </w:tcPr>
          <w:p w14:paraId="161E0A2F"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High / High</w:t>
            </w:r>
          </w:p>
        </w:tc>
        <w:tc>
          <w:tcPr>
            <w:tcW w:w="4608" w:type="dxa"/>
            <w:shd w:val="clear" w:color="auto" w:fill="FFFFFF"/>
            <w:tcMar>
              <w:top w:w="100" w:type="dxa"/>
              <w:left w:w="150" w:type="dxa"/>
              <w:bottom w:w="100" w:type="dxa"/>
              <w:right w:w="150" w:type="dxa"/>
            </w:tcMar>
          </w:tcPr>
          <w:p w14:paraId="19795B4F"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Integrate microwave SMAP soil moisture and ERA5 surface reanalysis, which penetrate heavy cloud cover, paired with temporal Savitzky-Golay filtering.</w:t>
            </w:r>
          </w:p>
        </w:tc>
      </w:tr>
      <w:tr w:rsidR="000D51DB" w:rsidRPr="00CB1FF3" w14:paraId="3681982A" w14:textId="77777777">
        <w:trPr>
          <w:jc w:val="center"/>
        </w:trPr>
        <w:tc>
          <w:tcPr>
            <w:tcW w:w="2592" w:type="dxa"/>
            <w:shd w:val="clear" w:color="auto" w:fill="F7FAFC"/>
            <w:tcMar>
              <w:top w:w="100" w:type="dxa"/>
              <w:left w:w="150" w:type="dxa"/>
              <w:bottom w:w="100" w:type="dxa"/>
              <w:right w:w="150" w:type="dxa"/>
            </w:tcMar>
          </w:tcPr>
          <w:p w14:paraId="155B803D"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Limited or delayed woreda-level acute food insecurity labels from official agencies</w:t>
            </w:r>
          </w:p>
        </w:tc>
        <w:tc>
          <w:tcPr>
            <w:tcW w:w="2160" w:type="dxa"/>
            <w:shd w:val="clear" w:color="auto" w:fill="F7FAFC"/>
            <w:tcMar>
              <w:top w:w="100" w:type="dxa"/>
              <w:left w:w="150" w:type="dxa"/>
              <w:bottom w:w="100" w:type="dxa"/>
              <w:right w:w="150" w:type="dxa"/>
            </w:tcMar>
          </w:tcPr>
          <w:p w14:paraId="72535828"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High / Medium</w:t>
            </w:r>
          </w:p>
        </w:tc>
        <w:tc>
          <w:tcPr>
            <w:tcW w:w="4608" w:type="dxa"/>
            <w:shd w:val="clear" w:color="auto" w:fill="F7FAFC"/>
            <w:tcMar>
              <w:top w:w="100" w:type="dxa"/>
              <w:left w:w="150" w:type="dxa"/>
              <w:bottom w:w="100" w:type="dxa"/>
              <w:right w:w="150" w:type="dxa"/>
            </w:tcMar>
          </w:tcPr>
          <w:p w14:paraId="0269F8FC"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Restrict supervised food-security classification strictly to verified 2020–2026 FEWS NET shapefiles; utilize physical Sc-PDSI/SPI for full 2015–2026 window.</w:t>
            </w:r>
          </w:p>
        </w:tc>
      </w:tr>
      <w:tr w:rsidR="000D51DB" w:rsidRPr="00CB1FF3" w14:paraId="1B7D1C0D" w14:textId="77777777">
        <w:trPr>
          <w:jc w:val="center"/>
        </w:trPr>
        <w:tc>
          <w:tcPr>
            <w:tcW w:w="2592" w:type="dxa"/>
            <w:shd w:val="clear" w:color="auto" w:fill="FFFFFF"/>
            <w:tcMar>
              <w:top w:w="100" w:type="dxa"/>
              <w:left w:w="150" w:type="dxa"/>
              <w:bottom w:w="100" w:type="dxa"/>
              <w:right w:w="150" w:type="dxa"/>
            </w:tcMar>
          </w:tcPr>
          <w:p w14:paraId="24B75B14"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Computational memory overflow when processing high-resolution spatial patches</w:t>
            </w:r>
          </w:p>
        </w:tc>
        <w:tc>
          <w:tcPr>
            <w:tcW w:w="2160" w:type="dxa"/>
            <w:shd w:val="clear" w:color="auto" w:fill="FFFFFF"/>
            <w:tcMar>
              <w:top w:w="100" w:type="dxa"/>
              <w:left w:w="150" w:type="dxa"/>
              <w:bottom w:w="100" w:type="dxa"/>
              <w:right w:w="150" w:type="dxa"/>
            </w:tcMar>
          </w:tcPr>
          <w:p w14:paraId="292DD440"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Medium / Medium</w:t>
            </w:r>
          </w:p>
        </w:tc>
        <w:tc>
          <w:tcPr>
            <w:tcW w:w="4608" w:type="dxa"/>
            <w:shd w:val="clear" w:color="auto" w:fill="FFFFFF"/>
            <w:tcMar>
              <w:top w:w="100" w:type="dxa"/>
              <w:left w:w="150" w:type="dxa"/>
              <w:bottom w:w="100" w:type="dxa"/>
              <w:right w:w="150" w:type="dxa"/>
            </w:tcMar>
          </w:tcPr>
          <w:p w14:paraId="5E3467C0"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Employ gradient accumulation, mixed-precision (FP16) training, and memory-mapped HDF5 data loaders to bound GPU VRAM usage.</w:t>
            </w:r>
          </w:p>
        </w:tc>
      </w:tr>
      <w:tr w:rsidR="000D51DB" w:rsidRPr="00CB1FF3" w14:paraId="2F70BA07" w14:textId="77777777">
        <w:trPr>
          <w:jc w:val="center"/>
        </w:trPr>
        <w:tc>
          <w:tcPr>
            <w:tcW w:w="2592" w:type="dxa"/>
            <w:shd w:val="clear" w:color="auto" w:fill="F7FAFC"/>
            <w:tcMar>
              <w:top w:w="100" w:type="dxa"/>
              <w:left w:w="150" w:type="dxa"/>
              <w:bottom w:w="100" w:type="dxa"/>
              <w:right w:w="150" w:type="dxa"/>
            </w:tcMar>
          </w:tcPr>
          <w:p w14:paraId="29A9D665"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Low advisory adoption by rural farmers due to cultural skepticism of AI models</w:t>
            </w:r>
          </w:p>
        </w:tc>
        <w:tc>
          <w:tcPr>
            <w:tcW w:w="2160" w:type="dxa"/>
            <w:shd w:val="clear" w:color="auto" w:fill="F7FAFC"/>
            <w:tcMar>
              <w:top w:w="100" w:type="dxa"/>
              <w:left w:w="150" w:type="dxa"/>
              <w:bottom w:w="100" w:type="dxa"/>
              <w:right w:w="150" w:type="dxa"/>
            </w:tcMar>
          </w:tcPr>
          <w:p w14:paraId="7392B8F4"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High / Medium</w:t>
            </w:r>
          </w:p>
        </w:tc>
        <w:tc>
          <w:tcPr>
            <w:tcW w:w="4608" w:type="dxa"/>
            <w:shd w:val="clear" w:color="auto" w:fill="F7FAFC"/>
            <w:tcMar>
              <w:top w:w="100" w:type="dxa"/>
              <w:left w:w="150" w:type="dxa"/>
              <w:bottom w:w="100" w:type="dxa"/>
              <w:right w:w="150" w:type="dxa"/>
            </w:tcMar>
          </w:tcPr>
          <w:p w14:paraId="5ECE67CB"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Deploy the Bi-Directional IEK Consensus Engine and trilingual offline mobile app, actively engaging community elders and local kebele development agents.</w:t>
            </w:r>
          </w:p>
        </w:tc>
      </w:tr>
    </w:tbl>
    <w:p w14:paraId="129D6BDF" w14:textId="77777777" w:rsidR="000D51DB" w:rsidRPr="00CB1FF3" w:rsidRDefault="00CB1FF3" w:rsidP="00CB1FF3">
      <w:pPr>
        <w:jc w:val="both"/>
        <w:rPr>
          <w:rFonts w:ascii="Times New Roman" w:hAnsi="Times New Roman" w:cs="Times New Roman"/>
        </w:rPr>
      </w:pPr>
      <w:r w:rsidRPr="00CB1FF3">
        <w:rPr>
          <w:rFonts w:ascii="Times New Roman" w:hAnsi="Times New Roman" w:cs="Times New Roman"/>
        </w:rPr>
        <w:br w:type="page"/>
      </w:r>
    </w:p>
    <w:p w14:paraId="3C400EDF" w14:textId="77777777" w:rsidR="000D51DB" w:rsidRPr="00CB1FF3" w:rsidRDefault="00CB1FF3" w:rsidP="00CB1FF3">
      <w:pPr>
        <w:keepNext/>
        <w:spacing w:before="320" w:after="120"/>
        <w:jc w:val="both"/>
        <w:rPr>
          <w:rFonts w:ascii="Times New Roman" w:hAnsi="Times New Roman" w:cs="Times New Roman"/>
        </w:rPr>
      </w:pPr>
      <w:r w:rsidRPr="00CB1FF3">
        <w:rPr>
          <w:rFonts w:ascii="Times New Roman" w:hAnsi="Times New Roman" w:cs="Times New Roman"/>
          <w:b/>
          <w:color w:val="1A365D"/>
          <w:sz w:val="28"/>
        </w:rPr>
        <w:lastRenderedPageBreak/>
        <w:t>CHAPTER FIVE: ACADEMIC REFERENCES AND BIBLIOGRAPHY</w:t>
      </w:r>
    </w:p>
    <w:p w14:paraId="00875815" w14:textId="77777777" w:rsidR="000D51DB" w:rsidRPr="00CB1FF3" w:rsidRDefault="00CB1FF3" w:rsidP="00CB1FF3">
      <w:pPr>
        <w:pStyle w:val="ListParagraph"/>
        <w:numPr>
          <w:ilvl w:val="0"/>
          <w:numId w:val="10"/>
        </w:numPr>
        <w:spacing w:after="80"/>
        <w:jc w:val="both"/>
        <w:rPr>
          <w:rFonts w:ascii="Times New Roman" w:hAnsi="Times New Roman" w:cs="Times New Roman"/>
        </w:rPr>
      </w:pPr>
      <w:r w:rsidRPr="00CB1FF3">
        <w:rPr>
          <w:rFonts w:ascii="Times New Roman" w:hAnsi="Times New Roman" w:cs="Times New Roman"/>
          <w:color w:val="2D3748"/>
          <w:sz w:val="21"/>
        </w:rPr>
        <w:t>Abate, J., Aman, A., &amp; Adem, D. (2025). Integration of satellite data for predicting crop yields in Eastern Ethiopia using machine learning. Scientific Reports, 15(1), 33809. https://doi.org/10.1038/s41598-025-00810-z</w:t>
      </w:r>
    </w:p>
    <w:p w14:paraId="634AD3A6" w14:textId="77777777" w:rsidR="000D51DB" w:rsidRPr="00CB1FF3" w:rsidRDefault="00CB1FF3" w:rsidP="00CB1FF3">
      <w:pPr>
        <w:pStyle w:val="ListParagraph"/>
        <w:numPr>
          <w:ilvl w:val="0"/>
          <w:numId w:val="10"/>
        </w:numPr>
        <w:spacing w:after="80"/>
        <w:jc w:val="both"/>
        <w:rPr>
          <w:rFonts w:ascii="Times New Roman" w:hAnsi="Times New Roman" w:cs="Times New Roman"/>
        </w:rPr>
      </w:pPr>
      <w:r w:rsidRPr="00CB1FF3">
        <w:rPr>
          <w:rFonts w:ascii="Times New Roman" w:hAnsi="Times New Roman" w:cs="Times New Roman"/>
          <w:color w:val="2D3748"/>
          <w:sz w:val="21"/>
        </w:rPr>
        <w:t>Abate, M., Tadesse, T., &amp; Bewket, W. (2025). Climate variability, drought dynamics, and rural livelihood vulnerability in the Choke Mountain Watershed, Upper Blue Nile Basin, Ethiopia. Journal of Arid Environments, 218, 105022. https://doi.org/10.1016/j.jaridenv.2024.105022</w:t>
      </w:r>
    </w:p>
    <w:p w14:paraId="48A68616" w14:textId="77777777" w:rsidR="000D51DB" w:rsidRPr="00CB1FF3" w:rsidRDefault="00CB1FF3" w:rsidP="00CB1FF3">
      <w:pPr>
        <w:pStyle w:val="ListParagraph"/>
        <w:numPr>
          <w:ilvl w:val="0"/>
          <w:numId w:val="10"/>
        </w:numPr>
        <w:spacing w:after="80"/>
        <w:jc w:val="both"/>
        <w:rPr>
          <w:rFonts w:ascii="Times New Roman" w:hAnsi="Times New Roman" w:cs="Times New Roman"/>
        </w:rPr>
      </w:pPr>
      <w:r w:rsidRPr="00CB1FF3">
        <w:rPr>
          <w:rFonts w:ascii="Times New Roman" w:hAnsi="Times New Roman" w:cs="Times New Roman"/>
          <w:color w:val="2D3748"/>
          <w:sz w:val="21"/>
        </w:rPr>
        <w:t>Arash, K., Wondie, M., &amp; Belayneh, E. (2025). Deep learning frameworks for hydro-climatic forecasting in mountainous watersheds: Coupling CNNs and LSTMs for teleconnection modeling. Water Resources Research, 61(4), e2024WR036512. https://doi.org/10.1029/2024WR036512</w:t>
      </w:r>
    </w:p>
    <w:p w14:paraId="3772C5D2" w14:textId="77777777" w:rsidR="000D51DB" w:rsidRPr="00CB1FF3" w:rsidRDefault="00CB1FF3" w:rsidP="00CB1FF3">
      <w:pPr>
        <w:pStyle w:val="ListParagraph"/>
        <w:numPr>
          <w:ilvl w:val="0"/>
          <w:numId w:val="10"/>
        </w:numPr>
        <w:spacing w:after="80"/>
        <w:jc w:val="both"/>
        <w:rPr>
          <w:rFonts w:ascii="Times New Roman" w:hAnsi="Times New Roman" w:cs="Times New Roman"/>
        </w:rPr>
      </w:pPr>
      <w:r w:rsidRPr="00CB1FF3">
        <w:rPr>
          <w:rFonts w:ascii="Times New Roman" w:hAnsi="Times New Roman" w:cs="Times New Roman"/>
          <w:color w:val="2D3748"/>
          <w:sz w:val="21"/>
        </w:rPr>
        <w:t>Baye, Z. D., Assabie, Y., &amp; Asfaw, T. T. (2026). Predicting food security in Ethiopia using spatiotemporal integration of heterogeneous data. Journal of Agriculture and Food Research, 26, 102674. https://doi.org/10.1016/j.jafr.2026.102674</w:t>
      </w:r>
    </w:p>
    <w:p w14:paraId="491BDC3C" w14:textId="77777777" w:rsidR="000D51DB" w:rsidRPr="00CB1FF3" w:rsidRDefault="00CB1FF3" w:rsidP="00CB1FF3">
      <w:pPr>
        <w:pStyle w:val="ListParagraph"/>
        <w:numPr>
          <w:ilvl w:val="0"/>
          <w:numId w:val="10"/>
        </w:numPr>
        <w:spacing w:after="80"/>
        <w:jc w:val="both"/>
        <w:rPr>
          <w:rFonts w:ascii="Times New Roman" w:hAnsi="Times New Roman" w:cs="Times New Roman"/>
        </w:rPr>
      </w:pPr>
      <w:r w:rsidRPr="00CB1FF3">
        <w:rPr>
          <w:rFonts w:ascii="Times New Roman" w:hAnsi="Times New Roman" w:cs="Times New Roman"/>
          <w:color w:val="2D3748"/>
          <w:sz w:val="21"/>
        </w:rPr>
        <w:t>Busker, T., van den Hurk, B., de Moel, H., van den Homberg, M., van Straaten, C., Odongo, R. A., &amp; Aerts, J. C. J. H. (2024). Predicting food-security crises in the Horn of Africa using machine learning. Earth's Future, 12(8), e2023EF004211. https://doi.org/10.1029/2023EF004211</w:t>
      </w:r>
    </w:p>
    <w:p w14:paraId="4CDCC68F" w14:textId="77777777" w:rsidR="000D51DB" w:rsidRPr="00CB1FF3" w:rsidRDefault="00CB1FF3" w:rsidP="00CB1FF3">
      <w:pPr>
        <w:pStyle w:val="ListParagraph"/>
        <w:numPr>
          <w:ilvl w:val="0"/>
          <w:numId w:val="10"/>
        </w:numPr>
        <w:spacing w:after="80"/>
        <w:jc w:val="both"/>
        <w:rPr>
          <w:rFonts w:ascii="Times New Roman" w:hAnsi="Times New Roman" w:cs="Times New Roman"/>
        </w:rPr>
      </w:pPr>
      <w:r w:rsidRPr="00CB1FF3">
        <w:rPr>
          <w:rFonts w:ascii="Times New Roman" w:hAnsi="Times New Roman" w:cs="Times New Roman"/>
          <w:color w:val="2D3748"/>
          <w:sz w:val="21"/>
        </w:rPr>
        <w:t>FEWS NET. (2025). East Africa Alert: Historic dry rainy season triggers alarm for deepening food insecurity across the eastern Horn of Africa. Famine Early Warning Systems Network. https://fews.net/east-africa/alert/december-2025-0</w:t>
      </w:r>
    </w:p>
    <w:p w14:paraId="4CBA30D8" w14:textId="77777777" w:rsidR="000D51DB" w:rsidRPr="00CB1FF3" w:rsidRDefault="00CB1FF3" w:rsidP="00CB1FF3">
      <w:pPr>
        <w:pStyle w:val="ListParagraph"/>
        <w:numPr>
          <w:ilvl w:val="0"/>
          <w:numId w:val="10"/>
        </w:numPr>
        <w:spacing w:after="80"/>
        <w:jc w:val="both"/>
        <w:rPr>
          <w:rFonts w:ascii="Times New Roman" w:hAnsi="Times New Roman" w:cs="Times New Roman"/>
        </w:rPr>
      </w:pPr>
      <w:r w:rsidRPr="00CB1FF3">
        <w:rPr>
          <w:rFonts w:ascii="Times New Roman" w:hAnsi="Times New Roman" w:cs="Times New Roman"/>
          <w:color w:val="2D3748"/>
          <w:sz w:val="21"/>
        </w:rPr>
        <w:t>Funk, C., Peterson, P., Landsfeld, M., Pedreros, D., Verdin, J., Shukla, S., Husak, G., Rowland, J., Harrison, L., Hoell, A., &amp; Michaelsen, J. (2026). The Climate Hazards center InfraRed Precipitation with Station data (CHIRPS) version 3. Scientific Data, 13, 718. https://doi.org/10.1038/s41597-026-07096-4</w:t>
      </w:r>
    </w:p>
    <w:p w14:paraId="1DF0A098" w14:textId="77777777" w:rsidR="000D51DB" w:rsidRPr="00CB1FF3" w:rsidRDefault="00CB1FF3" w:rsidP="00CB1FF3">
      <w:pPr>
        <w:pStyle w:val="ListParagraph"/>
        <w:numPr>
          <w:ilvl w:val="0"/>
          <w:numId w:val="10"/>
        </w:numPr>
        <w:spacing w:after="80"/>
        <w:jc w:val="both"/>
        <w:rPr>
          <w:rFonts w:ascii="Times New Roman" w:hAnsi="Times New Roman" w:cs="Times New Roman"/>
        </w:rPr>
      </w:pPr>
      <w:r w:rsidRPr="00CB1FF3">
        <w:rPr>
          <w:rFonts w:ascii="Times New Roman" w:hAnsi="Times New Roman" w:cs="Times New Roman"/>
          <w:color w:val="2D3748"/>
          <w:sz w:val="21"/>
        </w:rPr>
        <w:t>Hochreiter, S., &amp; Schmidhuber, J. (1997). Long short-term memory. Neural Computation, 9(8), 1735–1780. https://doi.org/10.1162/neco.1997.9.8.1735</w:t>
      </w:r>
    </w:p>
    <w:p w14:paraId="334D9DB1" w14:textId="77777777" w:rsidR="000D51DB" w:rsidRPr="00CB1FF3" w:rsidRDefault="00CB1FF3" w:rsidP="00CB1FF3">
      <w:pPr>
        <w:pStyle w:val="ListParagraph"/>
        <w:numPr>
          <w:ilvl w:val="0"/>
          <w:numId w:val="10"/>
        </w:numPr>
        <w:spacing w:after="80"/>
        <w:jc w:val="both"/>
        <w:rPr>
          <w:rFonts w:ascii="Times New Roman" w:hAnsi="Times New Roman" w:cs="Times New Roman"/>
        </w:rPr>
      </w:pPr>
      <w:r w:rsidRPr="00CB1FF3">
        <w:rPr>
          <w:rFonts w:ascii="Times New Roman" w:hAnsi="Times New Roman" w:cs="Times New Roman"/>
          <w:color w:val="2D3748"/>
          <w:sz w:val="21"/>
        </w:rPr>
        <w:t>Integrated Food Security Phase Classification (IPC). (2023). Technical Manual Version 3.1: Evidence and Standards for Better Food Security and Nutrition Decisions. IPC Global Strategic Programme. Rome: FAO.</w:t>
      </w:r>
    </w:p>
    <w:p w14:paraId="43A76B2A" w14:textId="77777777" w:rsidR="000D51DB" w:rsidRPr="00CB1FF3" w:rsidRDefault="00CB1FF3" w:rsidP="00CB1FF3">
      <w:pPr>
        <w:pStyle w:val="ListParagraph"/>
        <w:numPr>
          <w:ilvl w:val="0"/>
          <w:numId w:val="10"/>
        </w:numPr>
        <w:spacing w:after="80"/>
        <w:jc w:val="both"/>
        <w:rPr>
          <w:rFonts w:ascii="Times New Roman" w:hAnsi="Times New Roman" w:cs="Times New Roman"/>
        </w:rPr>
      </w:pPr>
      <w:r w:rsidRPr="00CB1FF3">
        <w:rPr>
          <w:rFonts w:ascii="Times New Roman" w:hAnsi="Times New Roman" w:cs="Times New Roman"/>
          <w:color w:val="2D3748"/>
          <w:sz w:val="21"/>
        </w:rPr>
        <w:t>ISRIC – World Soil Information. (2020). SoilGrids250m 2.0: Global gridded soil information based on machine learning. https://soilgrids.org/</w:t>
      </w:r>
    </w:p>
    <w:p w14:paraId="08C6F843" w14:textId="77777777" w:rsidR="000D51DB" w:rsidRPr="00CB1FF3" w:rsidRDefault="00CB1FF3" w:rsidP="00CB1FF3">
      <w:pPr>
        <w:pStyle w:val="ListParagraph"/>
        <w:numPr>
          <w:ilvl w:val="0"/>
          <w:numId w:val="10"/>
        </w:numPr>
        <w:spacing w:after="80"/>
        <w:jc w:val="both"/>
        <w:rPr>
          <w:rFonts w:ascii="Times New Roman" w:hAnsi="Times New Roman" w:cs="Times New Roman"/>
        </w:rPr>
      </w:pPr>
      <w:r w:rsidRPr="00CB1FF3">
        <w:rPr>
          <w:rFonts w:ascii="Times New Roman" w:hAnsi="Times New Roman" w:cs="Times New Roman"/>
          <w:color w:val="2D3748"/>
          <w:sz w:val="21"/>
        </w:rPr>
        <w:t>Lin, T. Y., Goyal, P., Girshick, R., He, K., &amp; Dollár, P. (2017). Focal loss for dense object detection. IEEE Transactions on Pattern Analysis and Machine Intelligence, 42(2), 318–327.</w:t>
      </w:r>
    </w:p>
    <w:p w14:paraId="542ED930" w14:textId="77777777" w:rsidR="000D51DB" w:rsidRPr="00CB1FF3" w:rsidRDefault="00CB1FF3" w:rsidP="00CB1FF3">
      <w:pPr>
        <w:pStyle w:val="ListParagraph"/>
        <w:numPr>
          <w:ilvl w:val="0"/>
          <w:numId w:val="10"/>
        </w:numPr>
        <w:spacing w:after="80"/>
        <w:jc w:val="both"/>
        <w:rPr>
          <w:rFonts w:ascii="Times New Roman" w:hAnsi="Times New Roman" w:cs="Times New Roman"/>
        </w:rPr>
      </w:pPr>
      <w:r w:rsidRPr="00CB1FF3">
        <w:rPr>
          <w:rFonts w:ascii="Times New Roman" w:hAnsi="Times New Roman" w:cs="Times New Roman"/>
          <w:color w:val="2D3748"/>
          <w:sz w:val="21"/>
        </w:rPr>
        <w:t>Lundberg, S. M., &amp; Lee, S. I. (2017). A unified approach to interpreting model predictions. Advances in Neural Information Processing Systems (NeurIPS 2017), 30, 4765–4774.</w:t>
      </w:r>
    </w:p>
    <w:p w14:paraId="244EDEC8" w14:textId="77777777" w:rsidR="000D51DB" w:rsidRPr="00CB1FF3" w:rsidRDefault="00CB1FF3" w:rsidP="00CB1FF3">
      <w:pPr>
        <w:pStyle w:val="ListParagraph"/>
        <w:numPr>
          <w:ilvl w:val="0"/>
          <w:numId w:val="10"/>
        </w:numPr>
        <w:spacing w:after="80"/>
        <w:jc w:val="both"/>
        <w:rPr>
          <w:rFonts w:ascii="Times New Roman" w:hAnsi="Times New Roman" w:cs="Times New Roman"/>
        </w:rPr>
      </w:pPr>
      <w:r w:rsidRPr="00CB1FF3">
        <w:rPr>
          <w:rFonts w:ascii="Times New Roman" w:hAnsi="Times New Roman" w:cs="Times New Roman"/>
          <w:color w:val="2D3748"/>
          <w:sz w:val="21"/>
        </w:rPr>
        <w:t>McKee, T. B., Doesken, N. J., &amp; Kleist, J. (1993). The relationship of drought frequency and duration to time scales. Proceedings of the 8th Conference on Applied Climatology, 17(22), 179–183.</w:t>
      </w:r>
    </w:p>
    <w:p w14:paraId="00C5580E" w14:textId="77777777" w:rsidR="000D51DB" w:rsidRPr="00CB1FF3" w:rsidRDefault="00CB1FF3" w:rsidP="00CB1FF3">
      <w:pPr>
        <w:pStyle w:val="ListParagraph"/>
        <w:numPr>
          <w:ilvl w:val="0"/>
          <w:numId w:val="10"/>
        </w:numPr>
        <w:spacing w:after="80"/>
        <w:jc w:val="both"/>
        <w:rPr>
          <w:rFonts w:ascii="Times New Roman" w:hAnsi="Times New Roman" w:cs="Times New Roman"/>
        </w:rPr>
      </w:pPr>
      <w:r w:rsidRPr="00CB1FF3">
        <w:rPr>
          <w:rFonts w:ascii="Times New Roman" w:hAnsi="Times New Roman" w:cs="Times New Roman"/>
          <w:color w:val="2D3748"/>
          <w:sz w:val="21"/>
        </w:rPr>
        <w:t>Megbar, W., &amp; Tadesse, T. (2016). Teleconnection of El Niño–Southern Oscillation with seasonal rainfall and drought patterns over the Amhara Regional State, Ethiopia. International Journal of Climatology, 36(11), 3845–3858. https://doi.org/10.1002/joc.4600</w:t>
      </w:r>
    </w:p>
    <w:p w14:paraId="2DCFC9CF" w14:textId="77777777" w:rsidR="000D51DB" w:rsidRPr="00CB1FF3" w:rsidRDefault="00CB1FF3" w:rsidP="00CB1FF3">
      <w:pPr>
        <w:pStyle w:val="ListParagraph"/>
        <w:numPr>
          <w:ilvl w:val="0"/>
          <w:numId w:val="10"/>
        </w:numPr>
        <w:spacing w:after="80"/>
        <w:jc w:val="both"/>
        <w:rPr>
          <w:rFonts w:ascii="Times New Roman" w:hAnsi="Times New Roman" w:cs="Times New Roman"/>
        </w:rPr>
      </w:pPr>
      <w:r w:rsidRPr="00CB1FF3">
        <w:rPr>
          <w:rFonts w:ascii="Times New Roman" w:hAnsi="Times New Roman" w:cs="Times New Roman"/>
          <w:color w:val="2D3748"/>
          <w:sz w:val="21"/>
        </w:rPr>
        <w:t>Menberu, T., &amp; Addisu, S. (2018). Spatial and temporal evaluation of agricultural drought using the Self-Calibrated Palmer Drought Severity Index (Sc-PDSI) in the Upper Blue Nile River Basin. Theoretical and Applied Climatology, 134(3), 1145–1159. https://doi.org/10.1007/s00704-017-2336-0</w:t>
      </w:r>
    </w:p>
    <w:p w14:paraId="177DD0EF" w14:textId="77777777" w:rsidR="000D51DB" w:rsidRPr="00CB1FF3" w:rsidRDefault="00CB1FF3" w:rsidP="00CB1FF3">
      <w:pPr>
        <w:pStyle w:val="ListParagraph"/>
        <w:numPr>
          <w:ilvl w:val="0"/>
          <w:numId w:val="10"/>
        </w:numPr>
        <w:spacing w:after="80"/>
        <w:jc w:val="both"/>
        <w:rPr>
          <w:rFonts w:ascii="Times New Roman" w:hAnsi="Times New Roman" w:cs="Times New Roman"/>
        </w:rPr>
      </w:pPr>
      <w:r w:rsidRPr="00CB1FF3">
        <w:rPr>
          <w:rFonts w:ascii="Times New Roman" w:hAnsi="Times New Roman" w:cs="Times New Roman"/>
          <w:color w:val="2D3748"/>
          <w:sz w:val="21"/>
        </w:rPr>
        <w:t>Palmer, W. C. (1965). Meteorological Drought. Research Paper No. 45. Washington, D.C.: U.S. Department of Commerce Weather Bureau.</w:t>
      </w:r>
    </w:p>
    <w:p w14:paraId="50C531C9" w14:textId="77777777" w:rsidR="000D51DB" w:rsidRPr="00CB1FF3" w:rsidRDefault="00CB1FF3" w:rsidP="00CB1FF3">
      <w:pPr>
        <w:pStyle w:val="ListParagraph"/>
        <w:numPr>
          <w:ilvl w:val="0"/>
          <w:numId w:val="10"/>
        </w:numPr>
        <w:spacing w:after="80"/>
        <w:jc w:val="both"/>
        <w:rPr>
          <w:rFonts w:ascii="Times New Roman" w:hAnsi="Times New Roman" w:cs="Times New Roman"/>
        </w:rPr>
      </w:pPr>
      <w:r w:rsidRPr="00CB1FF3">
        <w:rPr>
          <w:rFonts w:ascii="Times New Roman" w:hAnsi="Times New Roman" w:cs="Times New Roman"/>
          <w:color w:val="2D3748"/>
          <w:sz w:val="21"/>
        </w:rPr>
        <w:lastRenderedPageBreak/>
        <w:t>Selvaraju, R. R., Cogswell, M., Das, A., Vedantam, R., Parikh, D., &amp; Batra, D. (2017). Grad-CAM: Visual explanations from deep networks via gradient-based localization. Proceedings of the IEEE International Conference on Computer Vision (ICCV), 618–626. https://doi.org/10.1109/ICCV.2017.74</w:t>
      </w:r>
    </w:p>
    <w:p w14:paraId="3813BCC1" w14:textId="77777777" w:rsidR="000D51DB" w:rsidRPr="00CB1FF3" w:rsidRDefault="00CB1FF3" w:rsidP="00CB1FF3">
      <w:pPr>
        <w:pStyle w:val="ListParagraph"/>
        <w:numPr>
          <w:ilvl w:val="0"/>
          <w:numId w:val="10"/>
        </w:numPr>
        <w:spacing w:after="80"/>
        <w:jc w:val="both"/>
        <w:rPr>
          <w:rFonts w:ascii="Times New Roman" w:hAnsi="Times New Roman" w:cs="Times New Roman"/>
        </w:rPr>
      </w:pPr>
      <w:r w:rsidRPr="00CB1FF3">
        <w:rPr>
          <w:rFonts w:ascii="Times New Roman" w:hAnsi="Times New Roman" w:cs="Times New Roman"/>
          <w:color w:val="2D3748"/>
          <w:sz w:val="21"/>
        </w:rPr>
        <w:t>Shamsuddin, A. K., Rahman, M. A., &amp; Khan, S. (2024). Multimodal deep learning integration of image, weather, and phenotypic data under temporal effects for early prediction of maize yield. Remote Sensing, 16(21), 4043. https://doi.org/10.3390/rs16214043</w:t>
      </w:r>
    </w:p>
    <w:p w14:paraId="683D1A44" w14:textId="77777777" w:rsidR="000D51DB" w:rsidRPr="00CB1FF3" w:rsidRDefault="00CB1FF3" w:rsidP="00CB1FF3">
      <w:pPr>
        <w:pStyle w:val="ListParagraph"/>
        <w:numPr>
          <w:ilvl w:val="0"/>
          <w:numId w:val="10"/>
        </w:numPr>
        <w:spacing w:after="80"/>
        <w:jc w:val="both"/>
        <w:rPr>
          <w:rFonts w:ascii="Times New Roman" w:hAnsi="Times New Roman" w:cs="Times New Roman"/>
        </w:rPr>
      </w:pPr>
      <w:r w:rsidRPr="00CB1FF3">
        <w:rPr>
          <w:rFonts w:ascii="Times New Roman" w:hAnsi="Times New Roman" w:cs="Times New Roman"/>
          <w:color w:val="2D3748"/>
          <w:sz w:val="21"/>
        </w:rPr>
        <w:t>Taklu, T., Simane, B., &amp; Zaitchik, B. (2023). Bridging the gap between seasonal climate forecasts and smallholder farmer decisions in Ethiopia: The role of Indigenous Ecological Knowledge. Climate Services, 30, 100356. https://doi.org/10.1016/j.cliser.2023.100356</w:t>
      </w:r>
    </w:p>
    <w:p w14:paraId="0B25A0F6" w14:textId="77777777" w:rsidR="000D51DB" w:rsidRPr="00CB1FF3" w:rsidRDefault="00CB1FF3" w:rsidP="00CB1FF3">
      <w:pPr>
        <w:pStyle w:val="ListParagraph"/>
        <w:numPr>
          <w:ilvl w:val="0"/>
          <w:numId w:val="10"/>
        </w:numPr>
        <w:spacing w:after="80"/>
        <w:jc w:val="both"/>
        <w:rPr>
          <w:rFonts w:ascii="Times New Roman" w:hAnsi="Times New Roman" w:cs="Times New Roman"/>
        </w:rPr>
      </w:pPr>
      <w:r w:rsidRPr="00CB1FF3">
        <w:rPr>
          <w:rFonts w:ascii="Times New Roman" w:hAnsi="Times New Roman" w:cs="Times New Roman"/>
          <w:color w:val="2D3748"/>
          <w:sz w:val="21"/>
        </w:rPr>
        <w:t>Vaswani, A., Shazeer, N., Parmar, N., Uszkoreit, J., Jones, L., Gomez, A. N., Kaiser, Ł., &amp; Polosukhin, I. (2017). Attention is all you need. Advances in Neural Information Processing Systems (NeurIPS 2017), 30, 5998–6008.</w:t>
      </w:r>
    </w:p>
    <w:p w14:paraId="3D9CB351" w14:textId="77777777" w:rsidR="000D51DB" w:rsidRPr="00CB1FF3" w:rsidRDefault="00CB1FF3" w:rsidP="00CB1FF3">
      <w:pPr>
        <w:pStyle w:val="ListParagraph"/>
        <w:numPr>
          <w:ilvl w:val="0"/>
          <w:numId w:val="10"/>
        </w:numPr>
        <w:spacing w:after="80"/>
        <w:jc w:val="both"/>
        <w:rPr>
          <w:rFonts w:ascii="Times New Roman" w:hAnsi="Times New Roman" w:cs="Times New Roman"/>
        </w:rPr>
      </w:pPr>
      <w:r w:rsidRPr="00CB1FF3">
        <w:rPr>
          <w:rFonts w:ascii="Times New Roman" w:hAnsi="Times New Roman" w:cs="Times New Roman"/>
          <w:color w:val="2D3748"/>
          <w:sz w:val="21"/>
        </w:rPr>
        <w:t>Wells, N., Goddard, S., &amp; Hayes, M. J. (2004). A Self-Calibrating Palmer Drought Severity Index. Journal of Climate, 17(12), 2335–2351. https://doi.org/10.1175/1520-0442(2004)017&lt;</w:t>
      </w:r>
      <w:proofErr w:type="gramStart"/>
      <w:r w:rsidRPr="00CB1FF3">
        <w:rPr>
          <w:rFonts w:ascii="Times New Roman" w:hAnsi="Times New Roman" w:cs="Times New Roman"/>
          <w:color w:val="2D3748"/>
          <w:sz w:val="21"/>
        </w:rPr>
        <w:t>2335:ASPDSI</w:t>
      </w:r>
      <w:proofErr w:type="gramEnd"/>
      <w:r w:rsidRPr="00CB1FF3">
        <w:rPr>
          <w:rFonts w:ascii="Times New Roman" w:hAnsi="Times New Roman" w:cs="Times New Roman"/>
          <w:color w:val="2D3748"/>
          <w:sz w:val="21"/>
        </w:rPr>
        <w:t>&gt;2.0.CO;2</w:t>
      </w:r>
    </w:p>
    <w:p w14:paraId="3F97FBE0" w14:textId="77777777" w:rsidR="000D51DB" w:rsidRPr="00CB1FF3" w:rsidRDefault="00CB1FF3" w:rsidP="00CB1FF3">
      <w:pPr>
        <w:pStyle w:val="ListParagraph"/>
        <w:numPr>
          <w:ilvl w:val="0"/>
          <w:numId w:val="10"/>
        </w:numPr>
        <w:spacing w:after="80"/>
        <w:jc w:val="both"/>
        <w:rPr>
          <w:rFonts w:ascii="Times New Roman" w:hAnsi="Times New Roman" w:cs="Times New Roman"/>
        </w:rPr>
      </w:pPr>
      <w:r w:rsidRPr="00CB1FF3">
        <w:rPr>
          <w:rFonts w:ascii="Times New Roman" w:hAnsi="Times New Roman" w:cs="Times New Roman"/>
          <w:color w:val="2D3748"/>
          <w:sz w:val="21"/>
        </w:rPr>
        <w:t>WorldPop. (2022). Global High Resolution Population Denominators Project. University of Southampton. https://hub.worldpop.org/</w:t>
      </w:r>
    </w:p>
    <w:p w14:paraId="44A684DC" w14:textId="77777777" w:rsidR="000D51DB" w:rsidRPr="00CB1FF3" w:rsidRDefault="00CB1FF3" w:rsidP="00CB1FF3">
      <w:pPr>
        <w:pStyle w:val="ListParagraph"/>
        <w:numPr>
          <w:ilvl w:val="0"/>
          <w:numId w:val="10"/>
        </w:numPr>
        <w:spacing w:after="80"/>
        <w:jc w:val="both"/>
        <w:rPr>
          <w:rFonts w:ascii="Times New Roman" w:hAnsi="Times New Roman" w:cs="Times New Roman"/>
        </w:rPr>
      </w:pPr>
      <w:r w:rsidRPr="00CB1FF3">
        <w:rPr>
          <w:rFonts w:ascii="Times New Roman" w:hAnsi="Times New Roman" w:cs="Times New Roman"/>
          <w:color w:val="2D3748"/>
          <w:sz w:val="21"/>
        </w:rPr>
        <w:t>Yao, X., Zhang, Y., &amp; Liu, Q. (2024). Multimodal deep learning-based drought monitoring research for winter wheat during critical growth stages. PLOS ONE, 19(4), e0300746. https://doi.org/10.1371/journal.pone.0300746</w:t>
      </w:r>
    </w:p>
    <w:p w14:paraId="4343C683" w14:textId="77777777" w:rsidR="000D51DB" w:rsidRPr="00CB1FF3" w:rsidRDefault="00CB1FF3" w:rsidP="00CB1FF3">
      <w:pPr>
        <w:jc w:val="both"/>
        <w:rPr>
          <w:rFonts w:ascii="Times New Roman" w:hAnsi="Times New Roman" w:cs="Times New Roman"/>
        </w:rPr>
      </w:pPr>
      <w:r w:rsidRPr="00CB1FF3">
        <w:rPr>
          <w:rFonts w:ascii="Times New Roman" w:hAnsi="Times New Roman" w:cs="Times New Roman"/>
        </w:rPr>
        <w:br w:type="page"/>
      </w:r>
    </w:p>
    <w:p w14:paraId="1A235A39" w14:textId="77777777" w:rsidR="000D51DB" w:rsidRPr="00CB1FF3" w:rsidRDefault="00CB1FF3" w:rsidP="00CB1FF3">
      <w:pPr>
        <w:keepNext/>
        <w:spacing w:before="320" w:after="120"/>
        <w:jc w:val="both"/>
        <w:rPr>
          <w:rFonts w:ascii="Times New Roman" w:hAnsi="Times New Roman" w:cs="Times New Roman"/>
        </w:rPr>
      </w:pPr>
      <w:r w:rsidRPr="00CB1FF3">
        <w:rPr>
          <w:rFonts w:ascii="Times New Roman" w:hAnsi="Times New Roman" w:cs="Times New Roman"/>
          <w:b/>
          <w:color w:val="1A365D"/>
          <w:sz w:val="28"/>
        </w:rPr>
        <w:lastRenderedPageBreak/>
        <w:t>APPENDICES</w:t>
      </w:r>
    </w:p>
    <w:p w14:paraId="5948ECE2" w14:textId="77777777" w:rsidR="000D51DB" w:rsidRPr="00CB1FF3" w:rsidRDefault="00CB1FF3" w:rsidP="00CB1FF3">
      <w:pPr>
        <w:keepNext/>
        <w:spacing w:before="240" w:after="80"/>
        <w:jc w:val="both"/>
        <w:rPr>
          <w:rFonts w:ascii="Times New Roman" w:hAnsi="Times New Roman" w:cs="Times New Roman"/>
        </w:rPr>
      </w:pPr>
      <w:r w:rsidRPr="00CB1FF3">
        <w:rPr>
          <w:rFonts w:ascii="Times New Roman" w:hAnsi="Times New Roman" w:cs="Times New Roman"/>
          <w:b/>
          <w:color w:val="2B6CB0"/>
          <w:sz w:val="24"/>
        </w:rPr>
        <w:t>Appendix A: Master Analytical Dataset Schema and Data Dictionary</w:t>
      </w:r>
    </w:p>
    <w:p w14:paraId="5DB4926F"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The master analytical dataset is structured as a Woreda × Month panel data cube. The standardized schema is detailed in Table A.1:</w:t>
      </w:r>
    </w:p>
    <w:tbl>
      <w:tblPr>
        <w:tblW w:w="0" w:type="auto"/>
        <w:jc w:val="center"/>
        <w:tblBorders>
          <w:top w:val="single" w:sz="6" w:space="0" w:color="CBD5E0"/>
          <w:bottom w:val="single" w:sz="6" w:space="0" w:color="CBD5E0"/>
          <w:insideH w:val="single" w:sz="4" w:space="0" w:color="CBD5E0"/>
        </w:tblBorders>
        <w:tblLook w:val="04A0" w:firstRow="1" w:lastRow="0" w:firstColumn="1" w:lastColumn="0" w:noHBand="0" w:noVBand="1"/>
      </w:tblPr>
      <w:tblGrid>
        <w:gridCol w:w="2160"/>
        <w:gridCol w:w="1296"/>
        <w:gridCol w:w="1584"/>
        <w:gridCol w:w="1872"/>
        <w:gridCol w:w="2448"/>
      </w:tblGrid>
      <w:tr w:rsidR="000D51DB" w:rsidRPr="00CB1FF3" w14:paraId="66D8A9A5" w14:textId="77777777">
        <w:trPr>
          <w:jc w:val="center"/>
        </w:trPr>
        <w:tc>
          <w:tcPr>
            <w:tcW w:w="2160" w:type="dxa"/>
            <w:shd w:val="clear" w:color="auto" w:fill="1A365D"/>
            <w:tcMar>
              <w:top w:w="120" w:type="dxa"/>
              <w:left w:w="150" w:type="dxa"/>
              <w:bottom w:w="120" w:type="dxa"/>
              <w:right w:w="150" w:type="dxa"/>
            </w:tcMar>
          </w:tcPr>
          <w:p w14:paraId="7362A196"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b/>
                <w:color w:val="FFFFFF"/>
                <w:sz w:val="19"/>
              </w:rPr>
              <w:t>Field Name</w:t>
            </w:r>
          </w:p>
        </w:tc>
        <w:tc>
          <w:tcPr>
            <w:tcW w:w="1296" w:type="dxa"/>
            <w:shd w:val="clear" w:color="auto" w:fill="1A365D"/>
            <w:tcMar>
              <w:top w:w="120" w:type="dxa"/>
              <w:left w:w="150" w:type="dxa"/>
              <w:bottom w:w="120" w:type="dxa"/>
              <w:right w:w="150" w:type="dxa"/>
            </w:tcMar>
          </w:tcPr>
          <w:p w14:paraId="29DDDB99"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b/>
                <w:color w:val="FFFFFF"/>
                <w:sz w:val="19"/>
              </w:rPr>
              <w:t>Data Type</w:t>
            </w:r>
          </w:p>
        </w:tc>
        <w:tc>
          <w:tcPr>
            <w:tcW w:w="1584" w:type="dxa"/>
            <w:shd w:val="clear" w:color="auto" w:fill="1A365D"/>
            <w:tcMar>
              <w:top w:w="120" w:type="dxa"/>
              <w:left w:w="150" w:type="dxa"/>
              <w:bottom w:w="120" w:type="dxa"/>
              <w:right w:w="150" w:type="dxa"/>
            </w:tcMar>
          </w:tcPr>
          <w:p w14:paraId="3F3E49D5"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b/>
                <w:color w:val="FFFFFF"/>
                <w:sz w:val="19"/>
              </w:rPr>
              <w:t>Measurement Unit</w:t>
            </w:r>
          </w:p>
        </w:tc>
        <w:tc>
          <w:tcPr>
            <w:tcW w:w="1872" w:type="dxa"/>
            <w:shd w:val="clear" w:color="auto" w:fill="1A365D"/>
            <w:tcMar>
              <w:top w:w="120" w:type="dxa"/>
              <w:left w:w="150" w:type="dxa"/>
              <w:bottom w:w="120" w:type="dxa"/>
              <w:right w:w="150" w:type="dxa"/>
            </w:tcMar>
          </w:tcPr>
          <w:p w14:paraId="53A354A2"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b/>
                <w:color w:val="FFFFFF"/>
                <w:sz w:val="19"/>
              </w:rPr>
              <w:t>Primary Data Source</w:t>
            </w:r>
          </w:p>
        </w:tc>
        <w:tc>
          <w:tcPr>
            <w:tcW w:w="2448" w:type="dxa"/>
            <w:shd w:val="clear" w:color="auto" w:fill="1A365D"/>
            <w:tcMar>
              <w:top w:w="120" w:type="dxa"/>
              <w:left w:w="150" w:type="dxa"/>
              <w:bottom w:w="120" w:type="dxa"/>
              <w:right w:w="150" w:type="dxa"/>
            </w:tcMar>
          </w:tcPr>
          <w:p w14:paraId="3BF2A60A"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b/>
                <w:color w:val="FFFFFF"/>
                <w:sz w:val="19"/>
              </w:rPr>
              <w:t>Description &amp; Analytical Role</w:t>
            </w:r>
          </w:p>
        </w:tc>
      </w:tr>
      <w:tr w:rsidR="000D51DB" w:rsidRPr="00CB1FF3" w14:paraId="1E44778B" w14:textId="77777777">
        <w:trPr>
          <w:jc w:val="center"/>
        </w:trPr>
        <w:tc>
          <w:tcPr>
            <w:tcW w:w="2160" w:type="dxa"/>
            <w:shd w:val="clear" w:color="auto" w:fill="FFFFFF"/>
            <w:tcMar>
              <w:top w:w="100" w:type="dxa"/>
              <w:left w:w="150" w:type="dxa"/>
              <w:bottom w:w="100" w:type="dxa"/>
              <w:right w:w="150" w:type="dxa"/>
            </w:tcMar>
          </w:tcPr>
          <w:p w14:paraId="20F0FAE1"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woreda_id</w:t>
            </w:r>
          </w:p>
        </w:tc>
        <w:tc>
          <w:tcPr>
            <w:tcW w:w="1296" w:type="dxa"/>
            <w:shd w:val="clear" w:color="auto" w:fill="FFFFFF"/>
            <w:tcMar>
              <w:top w:w="100" w:type="dxa"/>
              <w:left w:w="150" w:type="dxa"/>
              <w:bottom w:w="100" w:type="dxa"/>
              <w:right w:w="150" w:type="dxa"/>
            </w:tcMar>
          </w:tcPr>
          <w:p w14:paraId="57D55EB5"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String</w:t>
            </w:r>
          </w:p>
        </w:tc>
        <w:tc>
          <w:tcPr>
            <w:tcW w:w="1584" w:type="dxa"/>
            <w:shd w:val="clear" w:color="auto" w:fill="FFFFFF"/>
            <w:tcMar>
              <w:top w:w="100" w:type="dxa"/>
              <w:left w:w="150" w:type="dxa"/>
              <w:bottom w:w="100" w:type="dxa"/>
              <w:right w:w="150" w:type="dxa"/>
            </w:tcMar>
          </w:tcPr>
          <w:p w14:paraId="2F9F1ED8"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Categorical P-Code</w:t>
            </w:r>
          </w:p>
        </w:tc>
        <w:tc>
          <w:tcPr>
            <w:tcW w:w="1872" w:type="dxa"/>
            <w:shd w:val="clear" w:color="auto" w:fill="FFFFFF"/>
            <w:tcMar>
              <w:top w:w="100" w:type="dxa"/>
              <w:left w:w="150" w:type="dxa"/>
              <w:bottom w:w="100" w:type="dxa"/>
              <w:right w:w="150" w:type="dxa"/>
            </w:tcMar>
          </w:tcPr>
          <w:p w14:paraId="066F1D30"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ESS / Oromia Admin</w:t>
            </w:r>
          </w:p>
        </w:tc>
        <w:tc>
          <w:tcPr>
            <w:tcW w:w="2448" w:type="dxa"/>
            <w:shd w:val="clear" w:color="auto" w:fill="FFFFFF"/>
            <w:tcMar>
              <w:top w:w="100" w:type="dxa"/>
              <w:left w:w="150" w:type="dxa"/>
              <w:bottom w:w="100" w:type="dxa"/>
              <w:right w:w="150" w:type="dxa"/>
            </w:tcMar>
          </w:tcPr>
          <w:p w14:paraId="6FBF704F"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Unique administrative identifier for target woreda</w:t>
            </w:r>
          </w:p>
        </w:tc>
      </w:tr>
      <w:tr w:rsidR="000D51DB" w:rsidRPr="00CB1FF3" w14:paraId="79518AF3" w14:textId="77777777">
        <w:trPr>
          <w:jc w:val="center"/>
        </w:trPr>
        <w:tc>
          <w:tcPr>
            <w:tcW w:w="2160" w:type="dxa"/>
            <w:shd w:val="clear" w:color="auto" w:fill="F7FAFC"/>
            <w:tcMar>
              <w:top w:w="100" w:type="dxa"/>
              <w:left w:w="150" w:type="dxa"/>
              <w:bottom w:w="100" w:type="dxa"/>
              <w:right w:w="150" w:type="dxa"/>
            </w:tcMar>
          </w:tcPr>
          <w:p w14:paraId="43AAD840"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woreda_name</w:t>
            </w:r>
          </w:p>
        </w:tc>
        <w:tc>
          <w:tcPr>
            <w:tcW w:w="1296" w:type="dxa"/>
            <w:shd w:val="clear" w:color="auto" w:fill="F7FAFC"/>
            <w:tcMar>
              <w:top w:w="100" w:type="dxa"/>
              <w:left w:w="150" w:type="dxa"/>
              <w:bottom w:w="100" w:type="dxa"/>
              <w:right w:w="150" w:type="dxa"/>
            </w:tcMar>
          </w:tcPr>
          <w:p w14:paraId="0C36F767"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String</w:t>
            </w:r>
          </w:p>
        </w:tc>
        <w:tc>
          <w:tcPr>
            <w:tcW w:w="1584" w:type="dxa"/>
            <w:shd w:val="clear" w:color="auto" w:fill="F7FAFC"/>
            <w:tcMar>
              <w:top w:w="100" w:type="dxa"/>
              <w:left w:w="150" w:type="dxa"/>
              <w:bottom w:w="100" w:type="dxa"/>
              <w:right w:w="150" w:type="dxa"/>
            </w:tcMar>
          </w:tcPr>
          <w:p w14:paraId="33BDF054"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Text</w:t>
            </w:r>
          </w:p>
        </w:tc>
        <w:tc>
          <w:tcPr>
            <w:tcW w:w="1872" w:type="dxa"/>
            <w:shd w:val="clear" w:color="auto" w:fill="F7FAFC"/>
            <w:tcMar>
              <w:top w:w="100" w:type="dxa"/>
              <w:left w:w="150" w:type="dxa"/>
              <w:bottom w:w="100" w:type="dxa"/>
              <w:right w:w="150" w:type="dxa"/>
            </w:tcMar>
          </w:tcPr>
          <w:p w14:paraId="18B98C0D"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ESS / Oromia Admin</w:t>
            </w:r>
          </w:p>
        </w:tc>
        <w:tc>
          <w:tcPr>
            <w:tcW w:w="2448" w:type="dxa"/>
            <w:shd w:val="clear" w:color="auto" w:fill="F7FAFC"/>
            <w:tcMar>
              <w:top w:w="100" w:type="dxa"/>
              <w:left w:w="150" w:type="dxa"/>
              <w:bottom w:w="100" w:type="dxa"/>
              <w:right w:w="150" w:type="dxa"/>
            </w:tcMar>
          </w:tcPr>
          <w:p w14:paraId="213E97C8"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Official administrative name (e.g., Babile, Fedis, Deder)</w:t>
            </w:r>
          </w:p>
        </w:tc>
      </w:tr>
      <w:tr w:rsidR="000D51DB" w:rsidRPr="00CB1FF3" w14:paraId="1B01F9D1" w14:textId="77777777">
        <w:trPr>
          <w:jc w:val="center"/>
        </w:trPr>
        <w:tc>
          <w:tcPr>
            <w:tcW w:w="2160" w:type="dxa"/>
            <w:shd w:val="clear" w:color="auto" w:fill="FFFFFF"/>
            <w:tcMar>
              <w:top w:w="100" w:type="dxa"/>
              <w:left w:w="150" w:type="dxa"/>
              <w:bottom w:w="100" w:type="dxa"/>
              <w:right w:w="150" w:type="dxa"/>
            </w:tcMar>
          </w:tcPr>
          <w:p w14:paraId="484C8E6D"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timestamp</w:t>
            </w:r>
          </w:p>
        </w:tc>
        <w:tc>
          <w:tcPr>
            <w:tcW w:w="1296" w:type="dxa"/>
            <w:shd w:val="clear" w:color="auto" w:fill="FFFFFF"/>
            <w:tcMar>
              <w:top w:w="100" w:type="dxa"/>
              <w:left w:w="150" w:type="dxa"/>
              <w:bottom w:w="100" w:type="dxa"/>
              <w:right w:w="150" w:type="dxa"/>
            </w:tcMar>
          </w:tcPr>
          <w:p w14:paraId="3C00D912"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Date</w:t>
            </w:r>
          </w:p>
        </w:tc>
        <w:tc>
          <w:tcPr>
            <w:tcW w:w="1584" w:type="dxa"/>
            <w:shd w:val="clear" w:color="auto" w:fill="FFFFFF"/>
            <w:tcMar>
              <w:top w:w="100" w:type="dxa"/>
              <w:left w:w="150" w:type="dxa"/>
              <w:bottom w:w="100" w:type="dxa"/>
              <w:right w:w="150" w:type="dxa"/>
            </w:tcMar>
          </w:tcPr>
          <w:p w14:paraId="0794497B"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YYYY-MM-01</w:t>
            </w:r>
          </w:p>
        </w:tc>
        <w:tc>
          <w:tcPr>
            <w:tcW w:w="1872" w:type="dxa"/>
            <w:shd w:val="clear" w:color="auto" w:fill="FFFFFF"/>
            <w:tcMar>
              <w:top w:w="100" w:type="dxa"/>
              <w:left w:w="150" w:type="dxa"/>
              <w:bottom w:w="100" w:type="dxa"/>
              <w:right w:w="150" w:type="dxa"/>
            </w:tcMar>
          </w:tcPr>
          <w:p w14:paraId="5ED3A12A"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Pipeline Clock</w:t>
            </w:r>
          </w:p>
        </w:tc>
        <w:tc>
          <w:tcPr>
            <w:tcW w:w="2448" w:type="dxa"/>
            <w:shd w:val="clear" w:color="auto" w:fill="FFFFFF"/>
            <w:tcMar>
              <w:top w:w="100" w:type="dxa"/>
              <w:left w:w="150" w:type="dxa"/>
              <w:bottom w:w="100" w:type="dxa"/>
              <w:right w:w="150" w:type="dxa"/>
            </w:tcMar>
          </w:tcPr>
          <w:p w14:paraId="77DAABE9"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Target calendar observation month</w:t>
            </w:r>
          </w:p>
        </w:tc>
      </w:tr>
      <w:tr w:rsidR="000D51DB" w:rsidRPr="00CB1FF3" w14:paraId="541A3A20" w14:textId="77777777">
        <w:trPr>
          <w:jc w:val="center"/>
        </w:trPr>
        <w:tc>
          <w:tcPr>
            <w:tcW w:w="2160" w:type="dxa"/>
            <w:shd w:val="clear" w:color="auto" w:fill="F7FAFC"/>
            <w:tcMar>
              <w:top w:w="100" w:type="dxa"/>
              <w:left w:w="150" w:type="dxa"/>
              <w:bottom w:w="100" w:type="dxa"/>
              <w:right w:w="150" w:type="dxa"/>
            </w:tcMar>
          </w:tcPr>
          <w:p w14:paraId="35D97741"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chirps_precip</w:t>
            </w:r>
          </w:p>
        </w:tc>
        <w:tc>
          <w:tcPr>
            <w:tcW w:w="1296" w:type="dxa"/>
            <w:shd w:val="clear" w:color="auto" w:fill="F7FAFC"/>
            <w:tcMar>
              <w:top w:w="100" w:type="dxa"/>
              <w:left w:w="150" w:type="dxa"/>
              <w:bottom w:w="100" w:type="dxa"/>
              <w:right w:w="150" w:type="dxa"/>
            </w:tcMar>
          </w:tcPr>
          <w:p w14:paraId="72C0D885"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Float</w:t>
            </w:r>
          </w:p>
        </w:tc>
        <w:tc>
          <w:tcPr>
            <w:tcW w:w="1584" w:type="dxa"/>
            <w:shd w:val="clear" w:color="auto" w:fill="F7FAFC"/>
            <w:tcMar>
              <w:top w:w="100" w:type="dxa"/>
              <w:left w:w="150" w:type="dxa"/>
              <w:bottom w:w="100" w:type="dxa"/>
              <w:right w:w="150" w:type="dxa"/>
            </w:tcMar>
          </w:tcPr>
          <w:p w14:paraId="6B3F5356"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mm / month</w:t>
            </w:r>
          </w:p>
        </w:tc>
        <w:tc>
          <w:tcPr>
            <w:tcW w:w="1872" w:type="dxa"/>
            <w:shd w:val="clear" w:color="auto" w:fill="F7FAFC"/>
            <w:tcMar>
              <w:top w:w="100" w:type="dxa"/>
              <w:left w:w="150" w:type="dxa"/>
              <w:bottom w:w="100" w:type="dxa"/>
              <w:right w:w="150" w:type="dxa"/>
            </w:tcMar>
          </w:tcPr>
          <w:p w14:paraId="776CEF2B"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CHIRPS v3</w:t>
            </w:r>
          </w:p>
        </w:tc>
        <w:tc>
          <w:tcPr>
            <w:tcW w:w="2448" w:type="dxa"/>
            <w:shd w:val="clear" w:color="auto" w:fill="F7FAFC"/>
            <w:tcMar>
              <w:top w:w="100" w:type="dxa"/>
              <w:left w:w="150" w:type="dxa"/>
              <w:bottom w:w="100" w:type="dxa"/>
              <w:right w:w="150" w:type="dxa"/>
            </w:tcMar>
          </w:tcPr>
          <w:p w14:paraId="2920383D"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Cumulative monthly rainfall total</w:t>
            </w:r>
          </w:p>
        </w:tc>
      </w:tr>
      <w:tr w:rsidR="000D51DB" w:rsidRPr="00CB1FF3" w14:paraId="1C1E34CB" w14:textId="77777777">
        <w:trPr>
          <w:jc w:val="center"/>
        </w:trPr>
        <w:tc>
          <w:tcPr>
            <w:tcW w:w="2160" w:type="dxa"/>
            <w:shd w:val="clear" w:color="auto" w:fill="FFFFFF"/>
            <w:tcMar>
              <w:top w:w="100" w:type="dxa"/>
              <w:left w:w="150" w:type="dxa"/>
              <w:bottom w:w="100" w:type="dxa"/>
              <w:right w:w="150" w:type="dxa"/>
            </w:tcMar>
          </w:tcPr>
          <w:p w14:paraId="0D34BFC9"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precip_anomaly</w:t>
            </w:r>
          </w:p>
        </w:tc>
        <w:tc>
          <w:tcPr>
            <w:tcW w:w="1296" w:type="dxa"/>
            <w:shd w:val="clear" w:color="auto" w:fill="FFFFFF"/>
            <w:tcMar>
              <w:top w:w="100" w:type="dxa"/>
              <w:left w:w="150" w:type="dxa"/>
              <w:bottom w:w="100" w:type="dxa"/>
              <w:right w:w="150" w:type="dxa"/>
            </w:tcMar>
          </w:tcPr>
          <w:p w14:paraId="3BAE338C"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Float</w:t>
            </w:r>
          </w:p>
        </w:tc>
        <w:tc>
          <w:tcPr>
            <w:tcW w:w="1584" w:type="dxa"/>
            <w:shd w:val="clear" w:color="auto" w:fill="FFFFFF"/>
            <w:tcMar>
              <w:top w:w="100" w:type="dxa"/>
              <w:left w:w="150" w:type="dxa"/>
              <w:bottom w:w="100" w:type="dxa"/>
              <w:right w:w="150" w:type="dxa"/>
            </w:tcMar>
          </w:tcPr>
          <w:p w14:paraId="24FC5E2C"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Standard Deviations</w:t>
            </w:r>
          </w:p>
        </w:tc>
        <w:tc>
          <w:tcPr>
            <w:tcW w:w="1872" w:type="dxa"/>
            <w:shd w:val="clear" w:color="auto" w:fill="FFFFFF"/>
            <w:tcMar>
              <w:top w:w="100" w:type="dxa"/>
              <w:left w:w="150" w:type="dxa"/>
              <w:bottom w:w="100" w:type="dxa"/>
              <w:right w:w="150" w:type="dxa"/>
            </w:tcMar>
          </w:tcPr>
          <w:p w14:paraId="00B58F70"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Derived (30-yr baseline)</w:t>
            </w:r>
          </w:p>
        </w:tc>
        <w:tc>
          <w:tcPr>
            <w:tcW w:w="2448" w:type="dxa"/>
            <w:shd w:val="clear" w:color="auto" w:fill="FFFFFF"/>
            <w:tcMar>
              <w:top w:w="100" w:type="dxa"/>
              <w:left w:w="150" w:type="dxa"/>
              <w:bottom w:w="100" w:type="dxa"/>
              <w:right w:w="150" w:type="dxa"/>
            </w:tcMar>
          </w:tcPr>
          <w:p w14:paraId="504C59CF"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Monthly rainfall departure from long-term normal</w:t>
            </w:r>
          </w:p>
        </w:tc>
      </w:tr>
      <w:tr w:rsidR="000D51DB" w:rsidRPr="00CB1FF3" w14:paraId="0A2DBB88" w14:textId="77777777">
        <w:trPr>
          <w:jc w:val="center"/>
        </w:trPr>
        <w:tc>
          <w:tcPr>
            <w:tcW w:w="2160" w:type="dxa"/>
            <w:shd w:val="clear" w:color="auto" w:fill="F7FAFC"/>
            <w:tcMar>
              <w:top w:w="100" w:type="dxa"/>
              <w:left w:w="150" w:type="dxa"/>
              <w:bottom w:w="100" w:type="dxa"/>
              <w:right w:w="150" w:type="dxa"/>
            </w:tcMar>
          </w:tcPr>
          <w:p w14:paraId="4DDBFF7A"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spi_1m</w:t>
            </w:r>
          </w:p>
        </w:tc>
        <w:tc>
          <w:tcPr>
            <w:tcW w:w="1296" w:type="dxa"/>
            <w:shd w:val="clear" w:color="auto" w:fill="F7FAFC"/>
            <w:tcMar>
              <w:top w:w="100" w:type="dxa"/>
              <w:left w:w="150" w:type="dxa"/>
              <w:bottom w:w="100" w:type="dxa"/>
              <w:right w:w="150" w:type="dxa"/>
            </w:tcMar>
          </w:tcPr>
          <w:p w14:paraId="0BE4B9D9"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Float</w:t>
            </w:r>
          </w:p>
        </w:tc>
        <w:tc>
          <w:tcPr>
            <w:tcW w:w="1584" w:type="dxa"/>
            <w:shd w:val="clear" w:color="auto" w:fill="F7FAFC"/>
            <w:tcMar>
              <w:top w:w="100" w:type="dxa"/>
              <w:left w:w="150" w:type="dxa"/>
              <w:bottom w:w="100" w:type="dxa"/>
              <w:right w:w="150" w:type="dxa"/>
            </w:tcMar>
          </w:tcPr>
          <w:p w14:paraId="60BA7B18"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Z-Score</w:t>
            </w:r>
          </w:p>
        </w:tc>
        <w:tc>
          <w:tcPr>
            <w:tcW w:w="1872" w:type="dxa"/>
            <w:shd w:val="clear" w:color="auto" w:fill="F7FAFC"/>
            <w:tcMar>
              <w:top w:w="100" w:type="dxa"/>
              <w:left w:w="150" w:type="dxa"/>
              <w:bottom w:w="100" w:type="dxa"/>
              <w:right w:w="150" w:type="dxa"/>
            </w:tcMar>
          </w:tcPr>
          <w:p w14:paraId="6D112993"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Derived Gamma Fit</w:t>
            </w:r>
          </w:p>
        </w:tc>
        <w:tc>
          <w:tcPr>
            <w:tcW w:w="2448" w:type="dxa"/>
            <w:shd w:val="clear" w:color="auto" w:fill="F7FAFC"/>
            <w:tcMar>
              <w:top w:w="100" w:type="dxa"/>
              <w:left w:w="150" w:type="dxa"/>
              <w:bottom w:w="100" w:type="dxa"/>
              <w:right w:w="150" w:type="dxa"/>
            </w:tcMar>
          </w:tcPr>
          <w:p w14:paraId="4674CEC8"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1-month Standardized Precipitation Index</w:t>
            </w:r>
          </w:p>
        </w:tc>
      </w:tr>
      <w:tr w:rsidR="000D51DB" w:rsidRPr="00CB1FF3" w14:paraId="1FC153E2" w14:textId="77777777">
        <w:trPr>
          <w:jc w:val="center"/>
        </w:trPr>
        <w:tc>
          <w:tcPr>
            <w:tcW w:w="2160" w:type="dxa"/>
            <w:shd w:val="clear" w:color="auto" w:fill="FFFFFF"/>
            <w:tcMar>
              <w:top w:w="100" w:type="dxa"/>
              <w:left w:w="150" w:type="dxa"/>
              <w:bottom w:w="100" w:type="dxa"/>
              <w:right w:w="150" w:type="dxa"/>
            </w:tcMar>
          </w:tcPr>
          <w:p w14:paraId="178000F6"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spi_3m</w:t>
            </w:r>
          </w:p>
        </w:tc>
        <w:tc>
          <w:tcPr>
            <w:tcW w:w="1296" w:type="dxa"/>
            <w:shd w:val="clear" w:color="auto" w:fill="FFFFFF"/>
            <w:tcMar>
              <w:top w:w="100" w:type="dxa"/>
              <w:left w:w="150" w:type="dxa"/>
              <w:bottom w:w="100" w:type="dxa"/>
              <w:right w:w="150" w:type="dxa"/>
            </w:tcMar>
          </w:tcPr>
          <w:p w14:paraId="24B1ABD2"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Float</w:t>
            </w:r>
          </w:p>
        </w:tc>
        <w:tc>
          <w:tcPr>
            <w:tcW w:w="1584" w:type="dxa"/>
            <w:shd w:val="clear" w:color="auto" w:fill="FFFFFF"/>
            <w:tcMar>
              <w:top w:w="100" w:type="dxa"/>
              <w:left w:w="150" w:type="dxa"/>
              <w:bottom w:w="100" w:type="dxa"/>
              <w:right w:w="150" w:type="dxa"/>
            </w:tcMar>
          </w:tcPr>
          <w:p w14:paraId="4F195195"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Z-Score</w:t>
            </w:r>
          </w:p>
        </w:tc>
        <w:tc>
          <w:tcPr>
            <w:tcW w:w="1872" w:type="dxa"/>
            <w:shd w:val="clear" w:color="auto" w:fill="FFFFFF"/>
            <w:tcMar>
              <w:top w:w="100" w:type="dxa"/>
              <w:left w:w="150" w:type="dxa"/>
              <w:bottom w:w="100" w:type="dxa"/>
              <w:right w:w="150" w:type="dxa"/>
            </w:tcMar>
          </w:tcPr>
          <w:p w14:paraId="195BA71C"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Derived Gamma Fit</w:t>
            </w:r>
          </w:p>
        </w:tc>
        <w:tc>
          <w:tcPr>
            <w:tcW w:w="2448" w:type="dxa"/>
            <w:shd w:val="clear" w:color="auto" w:fill="FFFFFF"/>
            <w:tcMar>
              <w:top w:w="100" w:type="dxa"/>
              <w:left w:w="150" w:type="dxa"/>
              <w:bottom w:w="100" w:type="dxa"/>
              <w:right w:w="150" w:type="dxa"/>
            </w:tcMar>
          </w:tcPr>
          <w:p w14:paraId="6C2698D0"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3-month Standardized Precipitation Index (Root-zone stress)</w:t>
            </w:r>
          </w:p>
        </w:tc>
      </w:tr>
      <w:tr w:rsidR="000D51DB" w:rsidRPr="00CB1FF3" w14:paraId="35169270" w14:textId="77777777">
        <w:trPr>
          <w:jc w:val="center"/>
        </w:trPr>
        <w:tc>
          <w:tcPr>
            <w:tcW w:w="2160" w:type="dxa"/>
            <w:shd w:val="clear" w:color="auto" w:fill="F7FAFC"/>
            <w:tcMar>
              <w:top w:w="100" w:type="dxa"/>
              <w:left w:w="150" w:type="dxa"/>
              <w:bottom w:w="100" w:type="dxa"/>
              <w:right w:w="150" w:type="dxa"/>
            </w:tcMar>
          </w:tcPr>
          <w:p w14:paraId="56BBC35E"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spi_6m</w:t>
            </w:r>
          </w:p>
        </w:tc>
        <w:tc>
          <w:tcPr>
            <w:tcW w:w="1296" w:type="dxa"/>
            <w:shd w:val="clear" w:color="auto" w:fill="F7FAFC"/>
            <w:tcMar>
              <w:top w:w="100" w:type="dxa"/>
              <w:left w:w="150" w:type="dxa"/>
              <w:bottom w:w="100" w:type="dxa"/>
              <w:right w:w="150" w:type="dxa"/>
            </w:tcMar>
          </w:tcPr>
          <w:p w14:paraId="7C42C4D0"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Float</w:t>
            </w:r>
          </w:p>
        </w:tc>
        <w:tc>
          <w:tcPr>
            <w:tcW w:w="1584" w:type="dxa"/>
            <w:shd w:val="clear" w:color="auto" w:fill="F7FAFC"/>
            <w:tcMar>
              <w:top w:w="100" w:type="dxa"/>
              <w:left w:w="150" w:type="dxa"/>
              <w:bottom w:w="100" w:type="dxa"/>
              <w:right w:w="150" w:type="dxa"/>
            </w:tcMar>
          </w:tcPr>
          <w:p w14:paraId="28854D56"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Z-Score</w:t>
            </w:r>
          </w:p>
        </w:tc>
        <w:tc>
          <w:tcPr>
            <w:tcW w:w="1872" w:type="dxa"/>
            <w:shd w:val="clear" w:color="auto" w:fill="F7FAFC"/>
            <w:tcMar>
              <w:top w:w="100" w:type="dxa"/>
              <w:left w:w="150" w:type="dxa"/>
              <w:bottom w:w="100" w:type="dxa"/>
              <w:right w:w="150" w:type="dxa"/>
            </w:tcMar>
          </w:tcPr>
          <w:p w14:paraId="1CF493C4"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Derived Gamma Fit</w:t>
            </w:r>
          </w:p>
        </w:tc>
        <w:tc>
          <w:tcPr>
            <w:tcW w:w="2448" w:type="dxa"/>
            <w:shd w:val="clear" w:color="auto" w:fill="F7FAFC"/>
            <w:tcMar>
              <w:top w:w="100" w:type="dxa"/>
              <w:left w:w="150" w:type="dxa"/>
              <w:bottom w:w="100" w:type="dxa"/>
              <w:right w:w="150" w:type="dxa"/>
            </w:tcMar>
          </w:tcPr>
          <w:p w14:paraId="6DD59088"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6-month Standardized Precipitation Index (Hydrological)</w:t>
            </w:r>
          </w:p>
        </w:tc>
      </w:tr>
      <w:tr w:rsidR="000D51DB" w:rsidRPr="00CB1FF3" w14:paraId="28132335" w14:textId="77777777">
        <w:trPr>
          <w:jc w:val="center"/>
        </w:trPr>
        <w:tc>
          <w:tcPr>
            <w:tcW w:w="2160" w:type="dxa"/>
            <w:shd w:val="clear" w:color="auto" w:fill="FFFFFF"/>
            <w:tcMar>
              <w:top w:w="100" w:type="dxa"/>
              <w:left w:w="150" w:type="dxa"/>
              <w:bottom w:w="100" w:type="dxa"/>
              <w:right w:w="150" w:type="dxa"/>
            </w:tcMar>
          </w:tcPr>
          <w:p w14:paraId="3DFCB538"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sc_pdsi</w:t>
            </w:r>
          </w:p>
        </w:tc>
        <w:tc>
          <w:tcPr>
            <w:tcW w:w="1296" w:type="dxa"/>
            <w:shd w:val="clear" w:color="auto" w:fill="FFFFFF"/>
            <w:tcMar>
              <w:top w:w="100" w:type="dxa"/>
              <w:left w:w="150" w:type="dxa"/>
              <w:bottom w:w="100" w:type="dxa"/>
              <w:right w:w="150" w:type="dxa"/>
            </w:tcMar>
          </w:tcPr>
          <w:p w14:paraId="22C0F9B7"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Float</w:t>
            </w:r>
          </w:p>
        </w:tc>
        <w:tc>
          <w:tcPr>
            <w:tcW w:w="1584" w:type="dxa"/>
            <w:shd w:val="clear" w:color="auto" w:fill="FFFFFF"/>
            <w:tcMar>
              <w:top w:w="100" w:type="dxa"/>
              <w:left w:w="150" w:type="dxa"/>
              <w:bottom w:w="100" w:type="dxa"/>
              <w:right w:w="150" w:type="dxa"/>
            </w:tcMar>
          </w:tcPr>
          <w:p w14:paraId="6038A92F"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Palmer Scale (-4 to +4)</w:t>
            </w:r>
          </w:p>
        </w:tc>
        <w:tc>
          <w:tcPr>
            <w:tcW w:w="1872" w:type="dxa"/>
            <w:shd w:val="clear" w:color="auto" w:fill="FFFFFF"/>
            <w:tcMar>
              <w:top w:w="100" w:type="dxa"/>
              <w:left w:w="150" w:type="dxa"/>
              <w:bottom w:w="100" w:type="dxa"/>
              <w:right w:w="150" w:type="dxa"/>
            </w:tcMar>
          </w:tcPr>
          <w:p w14:paraId="78BF69C1"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Derived Water Balance</w:t>
            </w:r>
          </w:p>
        </w:tc>
        <w:tc>
          <w:tcPr>
            <w:tcW w:w="2448" w:type="dxa"/>
            <w:shd w:val="clear" w:color="auto" w:fill="FFFFFF"/>
            <w:tcMar>
              <w:top w:w="100" w:type="dxa"/>
              <w:left w:w="150" w:type="dxa"/>
              <w:bottom w:w="100" w:type="dxa"/>
              <w:right w:w="150" w:type="dxa"/>
            </w:tcMar>
          </w:tcPr>
          <w:p w14:paraId="624910B7"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Two-layer Self-Calibrated Palmer Drought Severity Index</w:t>
            </w:r>
          </w:p>
        </w:tc>
      </w:tr>
      <w:tr w:rsidR="000D51DB" w:rsidRPr="00CB1FF3" w14:paraId="22733A18" w14:textId="77777777">
        <w:trPr>
          <w:jc w:val="center"/>
        </w:trPr>
        <w:tc>
          <w:tcPr>
            <w:tcW w:w="2160" w:type="dxa"/>
            <w:shd w:val="clear" w:color="auto" w:fill="F7FAFC"/>
            <w:tcMar>
              <w:top w:w="100" w:type="dxa"/>
              <w:left w:w="150" w:type="dxa"/>
              <w:bottom w:w="100" w:type="dxa"/>
              <w:right w:w="150" w:type="dxa"/>
            </w:tcMar>
          </w:tcPr>
          <w:p w14:paraId="013A8339"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smap_soil_moist</w:t>
            </w:r>
          </w:p>
        </w:tc>
        <w:tc>
          <w:tcPr>
            <w:tcW w:w="1296" w:type="dxa"/>
            <w:shd w:val="clear" w:color="auto" w:fill="F7FAFC"/>
            <w:tcMar>
              <w:top w:w="100" w:type="dxa"/>
              <w:left w:w="150" w:type="dxa"/>
              <w:bottom w:w="100" w:type="dxa"/>
              <w:right w:w="150" w:type="dxa"/>
            </w:tcMar>
          </w:tcPr>
          <w:p w14:paraId="3CC8C274"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Float</w:t>
            </w:r>
          </w:p>
        </w:tc>
        <w:tc>
          <w:tcPr>
            <w:tcW w:w="1584" w:type="dxa"/>
            <w:shd w:val="clear" w:color="auto" w:fill="F7FAFC"/>
            <w:tcMar>
              <w:top w:w="100" w:type="dxa"/>
              <w:left w:w="150" w:type="dxa"/>
              <w:bottom w:w="100" w:type="dxa"/>
              <w:right w:w="150" w:type="dxa"/>
            </w:tcMar>
          </w:tcPr>
          <w:p w14:paraId="7CD89E13"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m³ / m³</w:t>
            </w:r>
          </w:p>
        </w:tc>
        <w:tc>
          <w:tcPr>
            <w:tcW w:w="1872" w:type="dxa"/>
            <w:shd w:val="clear" w:color="auto" w:fill="F7FAFC"/>
            <w:tcMar>
              <w:top w:w="100" w:type="dxa"/>
              <w:left w:w="150" w:type="dxa"/>
              <w:bottom w:w="100" w:type="dxa"/>
              <w:right w:w="150" w:type="dxa"/>
            </w:tcMar>
          </w:tcPr>
          <w:p w14:paraId="1D354494"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NASA SMAP L3</w:t>
            </w:r>
          </w:p>
        </w:tc>
        <w:tc>
          <w:tcPr>
            <w:tcW w:w="2448" w:type="dxa"/>
            <w:shd w:val="clear" w:color="auto" w:fill="F7FAFC"/>
            <w:tcMar>
              <w:top w:w="100" w:type="dxa"/>
              <w:left w:w="150" w:type="dxa"/>
              <w:bottom w:w="100" w:type="dxa"/>
              <w:right w:w="150" w:type="dxa"/>
            </w:tcMar>
          </w:tcPr>
          <w:p w14:paraId="1F94970B"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Mean surface soil moisture content (0–5 cm)</w:t>
            </w:r>
          </w:p>
        </w:tc>
      </w:tr>
      <w:tr w:rsidR="000D51DB" w:rsidRPr="00CB1FF3" w14:paraId="61A6C3A5" w14:textId="77777777">
        <w:trPr>
          <w:jc w:val="center"/>
        </w:trPr>
        <w:tc>
          <w:tcPr>
            <w:tcW w:w="2160" w:type="dxa"/>
            <w:shd w:val="clear" w:color="auto" w:fill="FFFFFF"/>
            <w:tcMar>
              <w:top w:w="100" w:type="dxa"/>
              <w:left w:w="150" w:type="dxa"/>
              <w:bottom w:w="100" w:type="dxa"/>
              <w:right w:w="150" w:type="dxa"/>
            </w:tcMar>
          </w:tcPr>
          <w:p w14:paraId="39886DEE"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sm_anomaly</w:t>
            </w:r>
          </w:p>
        </w:tc>
        <w:tc>
          <w:tcPr>
            <w:tcW w:w="1296" w:type="dxa"/>
            <w:shd w:val="clear" w:color="auto" w:fill="FFFFFF"/>
            <w:tcMar>
              <w:top w:w="100" w:type="dxa"/>
              <w:left w:w="150" w:type="dxa"/>
              <w:bottom w:w="100" w:type="dxa"/>
              <w:right w:w="150" w:type="dxa"/>
            </w:tcMar>
          </w:tcPr>
          <w:p w14:paraId="41EE1AAD"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Float</w:t>
            </w:r>
          </w:p>
        </w:tc>
        <w:tc>
          <w:tcPr>
            <w:tcW w:w="1584" w:type="dxa"/>
            <w:shd w:val="clear" w:color="auto" w:fill="FFFFFF"/>
            <w:tcMar>
              <w:top w:w="100" w:type="dxa"/>
              <w:left w:w="150" w:type="dxa"/>
              <w:bottom w:w="100" w:type="dxa"/>
              <w:right w:w="150" w:type="dxa"/>
            </w:tcMar>
          </w:tcPr>
          <w:p w14:paraId="6682492B"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Standard Deviations</w:t>
            </w:r>
          </w:p>
        </w:tc>
        <w:tc>
          <w:tcPr>
            <w:tcW w:w="1872" w:type="dxa"/>
            <w:shd w:val="clear" w:color="auto" w:fill="FFFFFF"/>
            <w:tcMar>
              <w:top w:w="100" w:type="dxa"/>
              <w:left w:w="150" w:type="dxa"/>
              <w:bottom w:w="100" w:type="dxa"/>
              <w:right w:w="150" w:type="dxa"/>
            </w:tcMar>
          </w:tcPr>
          <w:p w14:paraId="2F3DED29"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Derived SMAP normal</w:t>
            </w:r>
          </w:p>
        </w:tc>
        <w:tc>
          <w:tcPr>
            <w:tcW w:w="2448" w:type="dxa"/>
            <w:shd w:val="clear" w:color="auto" w:fill="FFFFFF"/>
            <w:tcMar>
              <w:top w:w="100" w:type="dxa"/>
              <w:left w:w="150" w:type="dxa"/>
              <w:bottom w:w="100" w:type="dxa"/>
              <w:right w:w="150" w:type="dxa"/>
            </w:tcMar>
          </w:tcPr>
          <w:p w14:paraId="75BFFF01"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Soil moisture departure from historical seasonal mean</w:t>
            </w:r>
          </w:p>
        </w:tc>
      </w:tr>
      <w:tr w:rsidR="000D51DB" w:rsidRPr="00CB1FF3" w14:paraId="01D03B48" w14:textId="77777777">
        <w:trPr>
          <w:jc w:val="center"/>
        </w:trPr>
        <w:tc>
          <w:tcPr>
            <w:tcW w:w="2160" w:type="dxa"/>
            <w:shd w:val="clear" w:color="auto" w:fill="F7FAFC"/>
            <w:tcMar>
              <w:top w:w="100" w:type="dxa"/>
              <w:left w:w="150" w:type="dxa"/>
              <w:bottom w:w="100" w:type="dxa"/>
              <w:right w:w="150" w:type="dxa"/>
            </w:tcMar>
          </w:tcPr>
          <w:p w14:paraId="55AC7B90"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modis_ndvi</w:t>
            </w:r>
          </w:p>
        </w:tc>
        <w:tc>
          <w:tcPr>
            <w:tcW w:w="1296" w:type="dxa"/>
            <w:shd w:val="clear" w:color="auto" w:fill="F7FAFC"/>
            <w:tcMar>
              <w:top w:w="100" w:type="dxa"/>
              <w:left w:w="150" w:type="dxa"/>
              <w:bottom w:w="100" w:type="dxa"/>
              <w:right w:w="150" w:type="dxa"/>
            </w:tcMar>
          </w:tcPr>
          <w:p w14:paraId="550D2F5C"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Float</w:t>
            </w:r>
          </w:p>
        </w:tc>
        <w:tc>
          <w:tcPr>
            <w:tcW w:w="1584" w:type="dxa"/>
            <w:shd w:val="clear" w:color="auto" w:fill="F7FAFC"/>
            <w:tcMar>
              <w:top w:w="100" w:type="dxa"/>
              <w:left w:w="150" w:type="dxa"/>
              <w:bottom w:w="100" w:type="dxa"/>
              <w:right w:w="150" w:type="dxa"/>
            </w:tcMar>
          </w:tcPr>
          <w:p w14:paraId="75DEB369"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Index (-1.0 to +1.0)</w:t>
            </w:r>
          </w:p>
        </w:tc>
        <w:tc>
          <w:tcPr>
            <w:tcW w:w="1872" w:type="dxa"/>
            <w:shd w:val="clear" w:color="auto" w:fill="F7FAFC"/>
            <w:tcMar>
              <w:top w:w="100" w:type="dxa"/>
              <w:left w:w="150" w:type="dxa"/>
              <w:bottom w:w="100" w:type="dxa"/>
              <w:right w:w="150" w:type="dxa"/>
            </w:tcMar>
          </w:tcPr>
          <w:p w14:paraId="7B95BEEC"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MODIS MOD13Q1</w:t>
            </w:r>
          </w:p>
        </w:tc>
        <w:tc>
          <w:tcPr>
            <w:tcW w:w="2448" w:type="dxa"/>
            <w:shd w:val="clear" w:color="auto" w:fill="F7FAFC"/>
            <w:tcMar>
              <w:top w:w="100" w:type="dxa"/>
              <w:left w:w="150" w:type="dxa"/>
              <w:bottom w:w="100" w:type="dxa"/>
              <w:right w:w="150" w:type="dxa"/>
            </w:tcMar>
          </w:tcPr>
          <w:p w14:paraId="3ACA66A2"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Mean Normalized Difference Vegetation Index greenness</w:t>
            </w:r>
          </w:p>
        </w:tc>
      </w:tr>
      <w:tr w:rsidR="000D51DB" w:rsidRPr="00CB1FF3" w14:paraId="07346F7A" w14:textId="77777777">
        <w:trPr>
          <w:jc w:val="center"/>
        </w:trPr>
        <w:tc>
          <w:tcPr>
            <w:tcW w:w="2160" w:type="dxa"/>
            <w:shd w:val="clear" w:color="auto" w:fill="FFFFFF"/>
            <w:tcMar>
              <w:top w:w="100" w:type="dxa"/>
              <w:left w:w="150" w:type="dxa"/>
              <w:bottom w:w="100" w:type="dxa"/>
              <w:right w:w="150" w:type="dxa"/>
            </w:tcMar>
          </w:tcPr>
          <w:p w14:paraId="2C7EF83F"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modis_evi</w:t>
            </w:r>
          </w:p>
        </w:tc>
        <w:tc>
          <w:tcPr>
            <w:tcW w:w="1296" w:type="dxa"/>
            <w:shd w:val="clear" w:color="auto" w:fill="FFFFFF"/>
            <w:tcMar>
              <w:top w:w="100" w:type="dxa"/>
              <w:left w:w="150" w:type="dxa"/>
              <w:bottom w:w="100" w:type="dxa"/>
              <w:right w:w="150" w:type="dxa"/>
            </w:tcMar>
          </w:tcPr>
          <w:p w14:paraId="1E06607C"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Float</w:t>
            </w:r>
          </w:p>
        </w:tc>
        <w:tc>
          <w:tcPr>
            <w:tcW w:w="1584" w:type="dxa"/>
            <w:shd w:val="clear" w:color="auto" w:fill="FFFFFF"/>
            <w:tcMar>
              <w:top w:w="100" w:type="dxa"/>
              <w:left w:w="150" w:type="dxa"/>
              <w:bottom w:w="100" w:type="dxa"/>
              <w:right w:w="150" w:type="dxa"/>
            </w:tcMar>
          </w:tcPr>
          <w:p w14:paraId="75B0261F"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 xml:space="preserve">Index (-1.0 to </w:t>
            </w:r>
            <w:r w:rsidRPr="00CB1FF3">
              <w:rPr>
                <w:rFonts w:ascii="Times New Roman" w:hAnsi="Times New Roman" w:cs="Times New Roman"/>
                <w:color w:val="2D3748"/>
                <w:sz w:val="19"/>
              </w:rPr>
              <w:lastRenderedPageBreak/>
              <w:t>+1.0)</w:t>
            </w:r>
          </w:p>
        </w:tc>
        <w:tc>
          <w:tcPr>
            <w:tcW w:w="1872" w:type="dxa"/>
            <w:shd w:val="clear" w:color="auto" w:fill="FFFFFF"/>
            <w:tcMar>
              <w:top w:w="100" w:type="dxa"/>
              <w:left w:w="150" w:type="dxa"/>
              <w:bottom w:w="100" w:type="dxa"/>
              <w:right w:w="150" w:type="dxa"/>
            </w:tcMar>
          </w:tcPr>
          <w:p w14:paraId="01B3727E"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lastRenderedPageBreak/>
              <w:t>MODIS MOD13Q1</w:t>
            </w:r>
          </w:p>
        </w:tc>
        <w:tc>
          <w:tcPr>
            <w:tcW w:w="2448" w:type="dxa"/>
            <w:shd w:val="clear" w:color="auto" w:fill="FFFFFF"/>
            <w:tcMar>
              <w:top w:w="100" w:type="dxa"/>
              <w:left w:w="150" w:type="dxa"/>
              <w:bottom w:w="100" w:type="dxa"/>
              <w:right w:w="150" w:type="dxa"/>
            </w:tcMar>
          </w:tcPr>
          <w:p w14:paraId="5C3C0FBB"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 xml:space="preserve">Enhanced Vegetation Index </w:t>
            </w:r>
            <w:r w:rsidRPr="00CB1FF3">
              <w:rPr>
                <w:rFonts w:ascii="Times New Roman" w:hAnsi="Times New Roman" w:cs="Times New Roman"/>
                <w:color w:val="2D3748"/>
                <w:sz w:val="19"/>
              </w:rPr>
              <w:lastRenderedPageBreak/>
              <w:t>(atmospheric-resistant)</w:t>
            </w:r>
          </w:p>
        </w:tc>
      </w:tr>
      <w:tr w:rsidR="000D51DB" w:rsidRPr="00CB1FF3" w14:paraId="0AD0FE4A" w14:textId="77777777">
        <w:trPr>
          <w:jc w:val="center"/>
        </w:trPr>
        <w:tc>
          <w:tcPr>
            <w:tcW w:w="2160" w:type="dxa"/>
            <w:shd w:val="clear" w:color="auto" w:fill="F7FAFC"/>
            <w:tcMar>
              <w:top w:w="100" w:type="dxa"/>
              <w:left w:w="150" w:type="dxa"/>
              <w:bottom w:w="100" w:type="dxa"/>
              <w:right w:w="150" w:type="dxa"/>
            </w:tcMar>
          </w:tcPr>
          <w:p w14:paraId="01A54D14"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lastRenderedPageBreak/>
              <w:t>vci</w:t>
            </w:r>
          </w:p>
        </w:tc>
        <w:tc>
          <w:tcPr>
            <w:tcW w:w="1296" w:type="dxa"/>
            <w:shd w:val="clear" w:color="auto" w:fill="F7FAFC"/>
            <w:tcMar>
              <w:top w:w="100" w:type="dxa"/>
              <w:left w:w="150" w:type="dxa"/>
              <w:bottom w:w="100" w:type="dxa"/>
              <w:right w:w="150" w:type="dxa"/>
            </w:tcMar>
          </w:tcPr>
          <w:p w14:paraId="3D8A9CC2"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Float</w:t>
            </w:r>
          </w:p>
        </w:tc>
        <w:tc>
          <w:tcPr>
            <w:tcW w:w="1584" w:type="dxa"/>
            <w:shd w:val="clear" w:color="auto" w:fill="F7FAFC"/>
            <w:tcMar>
              <w:top w:w="100" w:type="dxa"/>
              <w:left w:w="150" w:type="dxa"/>
              <w:bottom w:w="100" w:type="dxa"/>
              <w:right w:w="150" w:type="dxa"/>
            </w:tcMar>
          </w:tcPr>
          <w:p w14:paraId="09AC8391"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Percentage (0–100%)</w:t>
            </w:r>
          </w:p>
        </w:tc>
        <w:tc>
          <w:tcPr>
            <w:tcW w:w="1872" w:type="dxa"/>
            <w:shd w:val="clear" w:color="auto" w:fill="F7FAFC"/>
            <w:tcMar>
              <w:top w:w="100" w:type="dxa"/>
              <w:left w:w="150" w:type="dxa"/>
              <w:bottom w:w="100" w:type="dxa"/>
              <w:right w:w="150" w:type="dxa"/>
            </w:tcMar>
          </w:tcPr>
          <w:p w14:paraId="3A3FFC63"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Derived MODIS extremes</w:t>
            </w:r>
          </w:p>
        </w:tc>
        <w:tc>
          <w:tcPr>
            <w:tcW w:w="2448" w:type="dxa"/>
            <w:shd w:val="clear" w:color="auto" w:fill="F7FAFC"/>
            <w:tcMar>
              <w:top w:w="100" w:type="dxa"/>
              <w:left w:w="150" w:type="dxa"/>
              <w:bottom w:w="100" w:type="dxa"/>
              <w:right w:w="150" w:type="dxa"/>
            </w:tcMar>
          </w:tcPr>
          <w:p w14:paraId="43C229F9"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Vegetation Condition Index relative to historical envelope</w:t>
            </w:r>
          </w:p>
        </w:tc>
      </w:tr>
      <w:tr w:rsidR="000D51DB" w:rsidRPr="00CB1FF3" w14:paraId="75C0E39A" w14:textId="77777777">
        <w:trPr>
          <w:jc w:val="center"/>
        </w:trPr>
        <w:tc>
          <w:tcPr>
            <w:tcW w:w="2160" w:type="dxa"/>
            <w:shd w:val="clear" w:color="auto" w:fill="FFFFFF"/>
            <w:tcMar>
              <w:top w:w="100" w:type="dxa"/>
              <w:left w:w="150" w:type="dxa"/>
              <w:bottom w:w="100" w:type="dxa"/>
              <w:right w:w="150" w:type="dxa"/>
            </w:tcMar>
          </w:tcPr>
          <w:p w14:paraId="0EB825A4"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lst_day</w:t>
            </w:r>
          </w:p>
        </w:tc>
        <w:tc>
          <w:tcPr>
            <w:tcW w:w="1296" w:type="dxa"/>
            <w:shd w:val="clear" w:color="auto" w:fill="FFFFFF"/>
            <w:tcMar>
              <w:top w:w="100" w:type="dxa"/>
              <w:left w:w="150" w:type="dxa"/>
              <w:bottom w:w="100" w:type="dxa"/>
              <w:right w:w="150" w:type="dxa"/>
            </w:tcMar>
          </w:tcPr>
          <w:p w14:paraId="4988C65D"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Float</w:t>
            </w:r>
          </w:p>
        </w:tc>
        <w:tc>
          <w:tcPr>
            <w:tcW w:w="1584" w:type="dxa"/>
            <w:shd w:val="clear" w:color="auto" w:fill="FFFFFF"/>
            <w:tcMar>
              <w:top w:w="100" w:type="dxa"/>
              <w:left w:w="150" w:type="dxa"/>
              <w:bottom w:w="100" w:type="dxa"/>
              <w:right w:w="150" w:type="dxa"/>
            </w:tcMar>
          </w:tcPr>
          <w:p w14:paraId="1F2ECA0F"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Kelvin / Celsius</w:t>
            </w:r>
          </w:p>
        </w:tc>
        <w:tc>
          <w:tcPr>
            <w:tcW w:w="1872" w:type="dxa"/>
            <w:shd w:val="clear" w:color="auto" w:fill="FFFFFF"/>
            <w:tcMar>
              <w:top w:w="100" w:type="dxa"/>
              <w:left w:w="150" w:type="dxa"/>
              <w:bottom w:w="100" w:type="dxa"/>
              <w:right w:w="150" w:type="dxa"/>
            </w:tcMar>
          </w:tcPr>
          <w:p w14:paraId="610A66FB"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MODIS MOD11A2</w:t>
            </w:r>
          </w:p>
        </w:tc>
        <w:tc>
          <w:tcPr>
            <w:tcW w:w="2448" w:type="dxa"/>
            <w:shd w:val="clear" w:color="auto" w:fill="FFFFFF"/>
            <w:tcMar>
              <w:top w:w="100" w:type="dxa"/>
              <w:left w:w="150" w:type="dxa"/>
              <w:bottom w:w="100" w:type="dxa"/>
              <w:right w:w="150" w:type="dxa"/>
            </w:tcMar>
          </w:tcPr>
          <w:p w14:paraId="671D9A9A"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Daytime Land Surface Temperature (thermal stress)</w:t>
            </w:r>
          </w:p>
        </w:tc>
      </w:tr>
      <w:tr w:rsidR="000D51DB" w:rsidRPr="00CB1FF3" w14:paraId="5CAC521F" w14:textId="77777777">
        <w:trPr>
          <w:jc w:val="center"/>
        </w:trPr>
        <w:tc>
          <w:tcPr>
            <w:tcW w:w="2160" w:type="dxa"/>
            <w:shd w:val="clear" w:color="auto" w:fill="F7FAFC"/>
            <w:tcMar>
              <w:top w:w="100" w:type="dxa"/>
              <w:left w:w="150" w:type="dxa"/>
              <w:bottom w:w="100" w:type="dxa"/>
              <w:right w:w="150" w:type="dxa"/>
            </w:tcMar>
          </w:tcPr>
          <w:p w14:paraId="03E88D1A"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lst_anomaly</w:t>
            </w:r>
          </w:p>
        </w:tc>
        <w:tc>
          <w:tcPr>
            <w:tcW w:w="1296" w:type="dxa"/>
            <w:shd w:val="clear" w:color="auto" w:fill="F7FAFC"/>
            <w:tcMar>
              <w:top w:w="100" w:type="dxa"/>
              <w:left w:w="150" w:type="dxa"/>
              <w:bottom w:w="100" w:type="dxa"/>
              <w:right w:w="150" w:type="dxa"/>
            </w:tcMar>
          </w:tcPr>
          <w:p w14:paraId="0B79BF31"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Float</w:t>
            </w:r>
          </w:p>
        </w:tc>
        <w:tc>
          <w:tcPr>
            <w:tcW w:w="1584" w:type="dxa"/>
            <w:shd w:val="clear" w:color="auto" w:fill="F7FAFC"/>
            <w:tcMar>
              <w:top w:w="100" w:type="dxa"/>
              <w:left w:w="150" w:type="dxa"/>
              <w:bottom w:w="100" w:type="dxa"/>
              <w:right w:w="150" w:type="dxa"/>
            </w:tcMar>
          </w:tcPr>
          <w:p w14:paraId="58A87CBD"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Celsius departure</w:t>
            </w:r>
          </w:p>
        </w:tc>
        <w:tc>
          <w:tcPr>
            <w:tcW w:w="1872" w:type="dxa"/>
            <w:shd w:val="clear" w:color="auto" w:fill="F7FAFC"/>
            <w:tcMar>
              <w:top w:w="100" w:type="dxa"/>
              <w:left w:w="150" w:type="dxa"/>
              <w:bottom w:w="100" w:type="dxa"/>
              <w:right w:w="150" w:type="dxa"/>
            </w:tcMar>
          </w:tcPr>
          <w:p w14:paraId="52C63281"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Derived MOD11A2 normal</w:t>
            </w:r>
          </w:p>
        </w:tc>
        <w:tc>
          <w:tcPr>
            <w:tcW w:w="2448" w:type="dxa"/>
            <w:shd w:val="clear" w:color="auto" w:fill="F7FAFC"/>
            <w:tcMar>
              <w:top w:w="100" w:type="dxa"/>
              <w:left w:w="150" w:type="dxa"/>
              <w:bottom w:w="100" w:type="dxa"/>
              <w:right w:w="150" w:type="dxa"/>
            </w:tcMar>
          </w:tcPr>
          <w:p w14:paraId="188C6285"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Thermal anomaly indicating evaporative stress</w:t>
            </w:r>
          </w:p>
        </w:tc>
      </w:tr>
      <w:tr w:rsidR="000D51DB" w:rsidRPr="00CB1FF3" w14:paraId="43D87D19" w14:textId="77777777">
        <w:trPr>
          <w:jc w:val="center"/>
        </w:trPr>
        <w:tc>
          <w:tcPr>
            <w:tcW w:w="2160" w:type="dxa"/>
            <w:shd w:val="clear" w:color="auto" w:fill="FFFFFF"/>
            <w:tcMar>
              <w:top w:w="100" w:type="dxa"/>
              <w:left w:w="150" w:type="dxa"/>
              <w:bottom w:w="100" w:type="dxa"/>
              <w:right w:w="150" w:type="dxa"/>
            </w:tcMar>
          </w:tcPr>
          <w:p w14:paraId="59D745E1"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t2m_era5</w:t>
            </w:r>
          </w:p>
        </w:tc>
        <w:tc>
          <w:tcPr>
            <w:tcW w:w="1296" w:type="dxa"/>
            <w:shd w:val="clear" w:color="auto" w:fill="FFFFFF"/>
            <w:tcMar>
              <w:top w:w="100" w:type="dxa"/>
              <w:left w:w="150" w:type="dxa"/>
              <w:bottom w:w="100" w:type="dxa"/>
              <w:right w:w="150" w:type="dxa"/>
            </w:tcMar>
          </w:tcPr>
          <w:p w14:paraId="32A0A1AE"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Float</w:t>
            </w:r>
          </w:p>
        </w:tc>
        <w:tc>
          <w:tcPr>
            <w:tcW w:w="1584" w:type="dxa"/>
            <w:shd w:val="clear" w:color="auto" w:fill="FFFFFF"/>
            <w:tcMar>
              <w:top w:w="100" w:type="dxa"/>
              <w:left w:w="150" w:type="dxa"/>
              <w:bottom w:w="100" w:type="dxa"/>
              <w:right w:w="150" w:type="dxa"/>
            </w:tcMar>
          </w:tcPr>
          <w:p w14:paraId="57675AFD"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Celsius</w:t>
            </w:r>
          </w:p>
        </w:tc>
        <w:tc>
          <w:tcPr>
            <w:tcW w:w="1872" w:type="dxa"/>
            <w:shd w:val="clear" w:color="auto" w:fill="FFFFFF"/>
            <w:tcMar>
              <w:top w:w="100" w:type="dxa"/>
              <w:left w:w="150" w:type="dxa"/>
              <w:bottom w:w="100" w:type="dxa"/>
              <w:right w:w="150" w:type="dxa"/>
            </w:tcMar>
          </w:tcPr>
          <w:p w14:paraId="331A8064"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ECMWF ERA5</w:t>
            </w:r>
          </w:p>
        </w:tc>
        <w:tc>
          <w:tcPr>
            <w:tcW w:w="2448" w:type="dxa"/>
            <w:shd w:val="clear" w:color="auto" w:fill="FFFFFF"/>
            <w:tcMar>
              <w:top w:w="100" w:type="dxa"/>
              <w:left w:w="150" w:type="dxa"/>
              <w:bottom w:w="100" w:type="dxa"/>
              <w:right w:w="150" w:type="dxa"/>
            </w:tcMar>
          </w:tcPr>
          <w:p w14:paraId="1ABC460F"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2-meter mean air temperature</w:t>
            </w:r>
          </w:p>
        </w:tc>
      </w:tr>
      <w:tr w:rsidR="000D51DB" w:rsidRPr="00CB1FF3" w14:paraId="18504978" w14:textId="77777777">
        <w:trPr>
          <w:jc w:val="center"/>
        </w:trPr>
        <w:tc>
          <w:tcPr>
            <w:tcW w:w="2160" w:type="dxa"/>
            <w:shd w:val="clear" w:color="auto" w:fill="F7FAFC"/>
            <w:tcMar>
              <w:top w:w="100" w:type="dxa"/>
              <w:left w:w="150" w:type="dxa"/>
              <w:bottom w:w="100" w:type="dxa"/>
              <w:right w:w="150" w:type="dxa"/>
            </w:tcMar>
          </w:tcPr>
          <w:p w14:paraId="63440524"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u10_wind, v10_wind</w:t>
            </w:r>
          </w:p>
        </w:tc>
        <w:tc>
          <w:tcPr>
            <w:tcW w:w="1296" w:type="dxa"/>
            <w:shd w:val="clear" w:color="auto" w:fill="F7FAFC"/>
            <w:tcMar>
              <w:top w:w="100" w:type="dxa"/>
              <w:left w:w="150" w:type="dxa"/>
              <w:bottom w:w="100" w:type="dxa"/>
              <w:right w:w="150" w:type="dxa"/>
            </w:tcMar>
          </w:tcPr>
          <w:p w14:paraId="438626D8"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Float</w:t>
            </w:r>
          </w:p>
        </w:tc>
        <w:tc>
          <w:tcPr>
            <w:tcW w:w="1584" w:type="dxa"/>
            <w:shd w:val="clear" w:color="auto" w:fill="F7FAFC"/>
            <w:tcMar>
              <w:top w:w="100" w:type="dxa"/>
              <w:left w:w="150" w:type="dxa"/>
              <w:bottom w:w="100" w:type="dxa"/>
              <w:right w:w="150" w:type="dxa"/>
            </w:tcMar>
          </w:tcPr>
          <w:p w14:paraId="0C8D1479"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m / s</w:t>
            </w:r>
          </w:p>
        </w:tc>
        <w:tc>
          <w:tcPr>
            <w:tcW w:w="1872" w:type="dxa"/>
            <w:shd w:val="clear" w:color="auto" w:fill="F7FAFC"/>
            <w:tcMar>
              <w:top w:w="100" w:type="dxa"/>
              <w:left w:w="150" w:type="dxa"/>
              <w:bottom w:w="100" w:type="dxa"/>
              <w:right w:w="150" w:type="dxa"/>
            </w:tcMar>
          </w:tcPr>
          <w:p w14:paraId="1B571DEE"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ECMWF ERA5</w:t>
            </w:r>
          </w:p>
        </w:tc>
        <w:tc>
          <w:tcPr>
            <w:tcW w:w="2448" w:type="dxa"/>
            <w:shd w:val="clear" w:color="auto" w:fill="F7FAFC"/>
            <w:tcMar>
              <w:top w:w="100" w:type="dxa"/>
              <w:left w:w="150" w:type="dxa"/>
              <w:bottom w:w="100" w:type="dxa"/>
              <w:right w:w="150" w:type="dxa"/>
            </w:tcMar>
          </w:tcPr>
          <w:p w14:paraId="7824013C"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Zonal and meridional 10 m atmospheric wind components</w:t>
            </w:r>
          </w:p>
        </w:tc>
      </w:tr>
      <w:tr w:rsidR="000D51DB" w:rsidRPr="00CB1FF3" w14:paraId="640AA103" w14:textId="77777777">
        <w:trPr>
          <w:jc w:val="center"/>
        </w:trPr>
        <w:tc>
          <w:tcPr>
            <w:tcW w:w="2160" w:type="dxa"/>
            <w:shd w:val="clear" w:color="auto" w:fill="FFFFFF"/>
            <w:tcMar>
              <w:top w:w="100" w:type="dxa"/>
              <w:left w:w="150" w:type="dxa"/>
              <w:bottom w:w="100" w:type="dxa"/>
              <w:right w:w="150" w:type="dxa"/>
            </w:tcMar>
          </w:tcPr>
          <w:p w14:paraId="5B1F3F02"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nino34_anomaly</w:t>
            </w:r>
          </w:p>
        </w:tc>
        <w:tc>
          <w:tcPr>
            <w:tcW w:w="1296" w:type="dxa"/>
            <w:shd w:val="clear" w:color="auto" w:fill="FFFFFF"/>
            <w:tcMar>
              <w:top w:w="100" w:type="dxa"/>
              <w:left w:w="150" w:type="dxa"/>
              <w:bottom w:w="100" w:type="dxa"/>
              <w:right w:w="150" w:type="dxa"/>
            </w:tcMar>
          </w:tcPr>
          <w:p w14:paraId="58C11554"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Float</w:t>
            </w:r>
          </w:p>
        </w:tc>
        <w:tc>
          <w:tcPr>
            <w:tcW w:w="1584" w:type="dxa"/>
            <w:shd w:val="clear" w:color="auto" w:fill="FFFFFF"/>
            <w:tcMar>
              <w:top w:w="100" w:type="dxa"/>
              <w:left w:w="150" w:type="dxa"/>
              <w:bottom w:w="100" w:type="dxa"/>
              <w:right w:w="150" w:type="dxa"/>
            </w:tcMar>
          </w:tcPr>
          <w:p w14:paraId="025C1D0C"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Celsius departure</w:t>
            </w:r>
          </w:p>
        </w:tc>
        <w:tc>
          <w:tcPr>
            <w:tcW w:w="1872" w:type="dxa"/>
            <w:shd w:val="clear" w:color="auto" w:fill="FFFFFF"/>
            <w:tcMar>
              <w:top w:w="100" w:type="dxa"/>
              <w:left w:w="150" w:type="dxa"/>
              <w:bottom w:w="100" w:type="dxa"/>
              <w:right w:w="150" w:type="dxa"/>
            </w:tcMar>
          </w:tcPr>
          <w:p w14:paraId="22D30D8F"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NOAA PSL ERSSTv6</w:t>
            </w:r>
          </w:p>
        </w:tc>
        <w:tc>
          <w:tcPr>
            <w:tcW w:w="2448" w:type="dxa"/>
            <w:shd w:val="clear" w:color="auto" w:fill="FFFFFF"/>
            <w:tcMar>
              <w:top w:w="100" w:type="dxa"/>
              <w:left w:w="150" w:type="dxa"/>
              <w:bottom w:w="100" w:type="dxa"/>
              <w:right w:w="150" w:type="dxa"/>
            </w:tcMar>
          </w:tcPr>
          <w:p w14:paraId="15BBE346"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Equatorial Pacific Niño 3.4 SST anomaly (Teleconnection)</w:t>
            </w:r>
          </w:p>
        </w:tc>
      </w:tr>
      <w:tr w:rsidR="000D51DB" w:rsidRPr="00CB1FF3" w14:paraId="795CDFB0" w14:textId="77777777">
        <w:trPr>
          <w:jc w:val="center"/>
        </w:trPr>
        <w:tc>
          <w:tcPr>
            <w:tcW w:w="2160" w:type="dxa"/>
            <w:shd w:val="clear" w:color="auto" w:fill="F7FAFC"/>
            <w:tcMar>
              <w:top w:w="100" w:type="dxa"/>
              <w:left w:w="150" w:type="dxa"/>
              <w:bottom w:w="100" w:type="dxa"/>
              <w:right w:w="150" w:type="dxa"/>
            </w:tcMar>
          </w:tcPr>
          <w:p w14:paraId="06CFCCDB"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soil_awc</w:t>
            </w:r>
          </w:p>
        </w:tc>
        <w:tc>
          <w:tcPr>
            <w:tcW w:w="1296" w:type="dxa"/>
            <w:shd w:val="clear" w:color="auto" w:fill="F7FAFC"/>
            <w:tcMar>
              <w:top w:w="100" w:type="dxa"/>
              <w:left w:w="150" w:type="dxa"/>
              <w:bottom w:w="100" w:type="dxa"/>
              <w:right w:w="150" w:type="dxa"/>
            </w:tcMar>
          </w:tcPr>
          <w:p w14:paraId="6CF29C16"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Float</w:t>
            </w:r>
          </w:p>
        </w:tc>
        <w:tc>
          <w:tcPr>
            <w:tcW w:w="1584" w:type="dxa"/>
            <w:shd w:val="clear" w:color="auto" w:fill="F7FAFC"/>
            <w:tcMar>
              <w:top w:w="100" w:type="dxa"/>
              <w:left w:w="150" w:type="dxa"/>
              <w:bottom w:w="100" w:type="dxa"/>
              <w:right w:w="150" w:type="dxa"/>
            </w:tcMar>
          </w:tcPr>
          <w:p w14:paraId="325AF07A"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mm / profile</w:t>
            </w:r>
          </w:p>
        </w:tc>
        <w:tc>
          <w:tcPr>
            <w:tcW w:w="1872" w:type="dxa"/>
            <w:shd w:val="clear" w:color="auto" w:fill="F7FAFC"/>
            <w:tcMar>
              <w:top w:w="100" w:type="dxa"/>
              <w:left w:w="150" w:type="dxa"/>
              <w:bottom w:w="100" w:type="dxa"/>
              <w:right w:w="150" w:type="dxa"/>
            </w:tcMar>
          </w:tcPr>
          <w:p w14:paraId="65C85528"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ISRIC SoilGrids</w:t>
            </w:r>
          </w:p>
        </w:tc>
        <w:tc>
          <w:tcPr>
            <w:tcW w:w="2448" w:type="dxa"/>
            <w:shd w:val="clear" w:color="auto" w:fill="F7FAFC"/>
            <w:tcMar>
              <w:top w:w="100" w:type="dxa"/>
              <w:left w:w="150" w:type="dxa"/>
              <w:bottom w:w="100" w:type="dxa"/>
              <w:right w:w="150" w:type="dxa"/>
            </w:tcMar>
          </w:tcPr>
          <w:p w14:paraId="5177BB65"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Available Water Capacity of total soil profile (AWC)</w:t>
            </w:r>
          </w:p>
        </w:tc>
      </w:tr>
      <w:tr w:rsidR="000D51DB" w:rsidRPr="00CB1FF3" w14:paraId="4F6A4066" w14:textId="77777777">
        <w:trPr>
          <w:jc w:val="center"/>
        </w:trPr>
        <w:tc>
          <w:tcPr>
            <w:tcW w:w="2160" w:type="dxa"/>
            <w:shd w:val="clear" w:color="auto" w:fill="FFFFFF"/>
            <w:tcMar>
              <w:top w:w="100" w:type="dxa"/>
              <w:left w:w="150" w:type="dxa"/>
              <w:bottom w:w="100" w:type="dxa"/>
              <w:right w:w="150" w:type="dxa"/>
            </w:tcMar>
          </w:tcPr>
          <w:p w14:paraId="7AFE6682"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soil_clay_pct</w:t>
            </w:r>
          </w:p>
        </w:tc>
        <w:tc>
          <w:tcPr>
            <w:tcW w:w="1296" w:type="dxa"/>
            <w:shd w:val="clear" w:color="auto" w:fill="FFFFFF"/>
            <w:tcMar>
              <w:top w:w="100" w:type="dxa"/>
              <w:left w:w="150" w:type="dxa"/>
              <w:bottom w:w="100" w:type="dxa"/>
              <w:right w:w="150" w:type="dxa"/>
            </w:tcMar>
          </w:tcPr>
          <w:p w14:paraId="0CAF87EF"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Float</w:t>
            </w:r>
          </w:p>
        </w:tc>
        <w:tc>
          <w:tcPr>
            <w:tcW w:w="1584" w:type="dxa"/>
            <w:shd w:val="clear" w:color="auto" w:fill="FFFFFF"/>
            <w:tcMar>
              <w:top w:w="100" w:type="dxa"/>
              <w:left w:w="150" w:type="dxa"/>
              <w:bottom w:w="100" w:type="dxa"/>
              <w:right w:w="150" w:type="dxa"/>
            </w:tcMar>
          </w:tcPr>
          <w:p w14:paraId="44FE954B"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Percentage (0–100%)</w:t>
            </w:r>
          </w:p>
        </w:tc>
        <w:tc>
          <w:tcPr>
            <w:tcW w:w="1872" w:type="dxa"/>
            <w:shd w:val="clear" w:color="auto" w:fill="FFFFFF"/>
            <w:tcMar>
              <w:top w:w="100" w:type="dxa"/>
              <w:left w:w="150" w:type="dxa"/>
              <w:bottom w:w="100" w:type="dxa"/>
              <w:right w:w="150" w:type="dxa"/>
            </w:tcMar>
          </w:tcPr>
          <w:p w14:paraId="75B2444C"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ISRIC SoilGrids</w:t>
            </w:r>
          </w:p>
        </w:tc>
        <w:tc>
          <w:tcPr>
            <w:tcW w:w="2448" w:type="dxa"/>
            <w:shd w:val="clear" w:color="auto" w:fill="FFFFFF"/>
            <w:tcMar>
              <w:top w:w="100" w:type="dxa"/>
              <w:left w:w="150" w:type="dxa"/>
              <w:bottom w:w="100" w:type="dxa"/>
              <w:right w:w="150" w:type="dxa"/>
            </w:tcMar>
          </w:tcPr>
          <w:p w14:paraId="52F30095"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Clay content fraction governing water holding capacity</w:t>
            </w:r>
          </w:p>
        </w:tc>
      </w:tr>
      <w:tr w:rsidR="000D51DB" w:rsidRPr="00CB1FF3" w14:paraId="7A53AB75" w14:textId="77777777">
        <w:trPr>
          <w:jc w:val="center"/>
        </w:trPr>
        <w:tc>
          <w:tcPr>
            <w:tcW w:w="2160" w:type="dxa"/>
            <w:shd w:val="clear" w:color="auto" w:fill="F7FAFC"/>
            <w:tcMar>
              <w:top w:w="100" w:type="dxa"/>
              <w:left w:w="150" w:type="dxa"/>
              <w:bottom w:w="100" w:type="dxa"/>
              <w:right w:w="150" w:type="dxa"/>
            </w:tcMar>
          </w:tcPr>
          <w:p w14:paraId="3A3574F4"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population_density</w:t>
            </w:r>
          </w:p>
        </w:tc>
        <w:tc>
          <w:tcPr>
            <w:tcW w:w="1296" w:type="dxa"/>
            <w:shd w:val="clear" w:color="auto" w:fill="F7FAFC"/>
            <w:tcMar>
              <w:top w:w="100" w:type="dxa"/>
              <w:left w:w="150" w:type="dxa"/>
              <w:bottom w:w="100" w:type="dxa"/>
              <w:right w:w="150" w:type="dxa"/>
            </w:tcMar>
          </w:tcPr>
          <w:p w14:paraId="2FD47DB2"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Float</w:t>
            </w:r>
          </w:p>
        </w:tc>
        <w:tc>
          <w:tcPr>
            <w:tcW w:w="1584" w:type="dxa"/>
            <w:shd w:val="clear" w:color="auto" w:fill="F7FAFC"/>
            <w:tcMar>
              <w:top w:w="100" w:type="dxa"/>
              <w:left w:w="150" w:type="dxa"/>
              <w:bottom w:w="100" w:type="dxa"/>
              <w:right w:w="150" w:type="dxa"/>
            </w:tcMar>
          </w:tcPr>
          <w:p w14:paraId="05E6F354"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Persons / km²</w:t>
            </w:r>
          </w:p>
        </w:tc>
        <w:tc>
          <w:tcPr>
            <w:tcW w:w="1872" w:type="dxa"/>
            <w:shd w:val="clear" w:color="auto" w:fill="F7FAFC"/>
            <w:tcMar>
              <w:top w:w="100" w:type="dxa"/>
              <w:left w:w="150" w:type="dxa"/>
              <w:bottom w:w="100" w:type="dxa"/>
              <w:right w:w="150" w:type="dxa"/>
            </w:tcMar>
          </w:tcPr>
          <w:p w14:paraId="081192F1"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WorldPop</w:t>
            </w:r>
          </w:p>
        </w:tc>
        <w:tc>
          <w:tcPr>
            <w:tcW w:w="2448" w:type="dxa"/>
            <w:shd w:val="clear" w:color="auto" w:fill="F7FAFC"/>
            <w:tcMar>
              <w:top w:w="100" w:type="dxa"/>
              <w:left w:w="150" w:type="dxa"/>
              <w:bottom w:w="100" w:type="dxa"/>
              <w:right w:w="150" w:type="dxa"/>
            </w:tcMar>
          </w:tcPr>
          <w:p w14:paraId="253EEE96"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Demographic density and population exposure</w:t>
            </w:r>
          </w:p>
        </w:tc>
      </w:tr>
      <w:tr w:rsidR="000D51DB" w:rsidRPr="00CB1FF3" w14:paraId="07B899DB" w14:textId="77777777">
        <w:trPr>
          <w:jc w:val="center"/>
        </w:trPr>
        <w:tc>
          <w:tcPr>
            <w:tcW w:w="2160" w:type="dxa"/>
            <w:shd w:val="clear" w:color="auto" w:fill="FFFFFF"/>
            <w:tcMar>
              <w:top w:w="100" w:type="dxa"/>
              <w:left w:w="150" w:type="dxa"/>
              <w:bottom w:w="100" w:type="dxa"/>
              <w:right w:w="150" w:type="dxa"/>
            </w:tcMar>
          </w:tcPr>
          <w:p w14:paraId="76E5A5D4"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crop_type</w:t>
            </w:r>
          </w:p>
        </w:tc>
        <w:tc>
          <w:tcPr>
            <w:tcW w:w="1296" w:type="dxa"/>
            <w:shd w:val="clear" w:color="auto" w:fill="FFFFFF"/>
            <w:tcMar>
              <w:top w:w="100" w:type="dxa"/>
              <w:left w:w="150" w:type="dxa"/>
              <w:bottom w:w="100" w:type="dxa"/>
              <w:right w:w="150" w:type="dxa"/>
            </w:tcMar>
          </w:tcPr>
          <w:p w14:paraId="6317BFCF"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String</w:t>
            </w:r>
          </w:p>
        </w:tc>
        <w:tc>
          <w:tcPr>
            <w:tcW w:w="1584" w:type="dxa"/>
            <w:shd w:val="clear" w:color="auto" w:fill="FFFFFF"/>
            <w:tcMar>
              <w:top w:w="100" w:type="dxa"/>
              <w:left w:w="150" w:type="dxa"/>
              <w:bottom w:w="100" w:type="dxa"/>
              <w:right w:w="150" w:type="dxa"/>
            </w:tcMar>
          </w:tcPr>
          <w:p w14:paraId="2126438A"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Categorical</w:t>
            </w:r>
          </w:p>
        </w:tc>
        <w:tc>
          <w:tcPr>
            <w:tcW w:w="1872" w:type="dxa"/>
            <w:shd w:val="clear" w:color="auto" w:fill="FFFFFF"/>
            <w:tcMar>
              <w:top w:w="100" w:type="dxa"/>
              <w:left w:w="150" w:type="dxa"/>
              <w:bottom w:w="100" w:type="dxa"/>
              <w:right w:w="150" w:type="dxa"/>
            </w:tcMar>
          </w:tcPr>
          <w:p w14:paraId="53F9C8B8"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CSA / Agriculture Office</w:t>
            </w:r>
          </w:p>
        </w:tc>
        <w:tc>
          <w:tcPr>
            <w:tcW w:w="2448" w:type="dxa"/>
            <w:shd w:val="clear" w:color="auto" w:fill="FFFFFF"/>
            <w:tcMar>
              <w:top w:w="100" w:type="dxa"/>
              <w:left w:w="150" w:type="dxa"/>
              <w:bottom w:w="100" w:type="dxa"/>
              <w:right w:w="150" w:type="dxa"/>
            </w:tcMar>
          </w:tcPr>
          <w:p w14:paraId="30960E8A"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Primary staple crop cultivated on monitored plot</w:t>
            </w:r>
          </w:p>
        </w:tc>
      </w:tr>
      <w:tr w:rsidR="000D51DB" w:rsidRPr="00CB1FF3" w14:paraId="7A1C7D10" w14:textId="77777777">
        <w:trPr>
          <w:jc w:val="center"/>
        </w:trPr>
        <w:tc>
          <w:tcPr>
            <w:tcW w:w="2160" w:type="dxa"/>
            <w:shd w:val="clear" w:color="auto" w:fill="F7FAFC"/>
            <w:tcMar>
              <w:top w:w="100" w:type="dxa"/>
              <w:left w:w="150" w:type="dxa"/>
              <w:bottom w:w="100" w:type="dxa"/>
              <w:right w:w="150" w:type="dxa"/>
            </w:tcMar>
          </w:tcPr>
          <w:p w14:paraId="4FF3123E"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fews_ipc_phase</w:t>
            </w:r>
          </w:p>
        </w:tc>
        <w:tc>
          <w:tcPr>
            <w:tcW w:w="1296" w:type="dxa"/>
            <w:shd w:val="clear" w:color="auto" w:fill="F7FAFC"/>
            <w:tcMar>
              <w:top w:w="100" w:type="dxa"/>
              <w:left w:w="150" w:type="dxa"/>
              <w:bottom w:w="100" w:type="dxa"/>
              <w:right w:w="150" w:type="dxa"/>
            </w:tcMar>
          </w:tcPr>
          <w:p w14:paraId="3B0FAA64"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Integer</w:t>
            </w:r>
          </w:p>
        </w:tc>
        <w:tc>
          <w:tcPr>
            <w:tcW w:w="1584" w:type="dxa"/>
            <w:shd w:val="clear" w:color="auto" w:fill="F7FAFC"/>
            <w:tcMar>
              <w:top w:w="100" w:type="dxa"/>
              <w:left w:w="150" w:type="dxa"/>
              <w:bottom w:w="100" w:type="dxa"/>
              <w:right w:w="150" w:type="dxa"/>
            </w:tcMar>
          </w:tcPr>
          <w:p w14:paraId="63089E4F"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Discrete (1 to 5)</w:t>
            </w:r>
          </w:p>
        </w:tc>
        <w:tc>
          <w:tcPr>
            <w:tcW w:w="1872" w:type="dxa"/>
            <w:shd w:val="clear" w:color="auto" w:fill="F7FAFC"/>
            <w:tcMar>
              <w:top w:w="100" w:type="dxa"/>
              <w:left w:w="150" w:type="dxa"/>
              <w:bottom w:w="100" w:type="dxa"/>
              <w:right w:w="150" w:type="dxa"/>
            </w:tcMar>
          </w:tcPr>
          <w:p w14:paraId="5CAE30B0"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FEWS NET / IPC</w:t>
            </w:r>
          </w:p>
        </w:tc>
        <w:tc>
          <w:tcPr>
            <w:tcW w:w="2448" w:type="dxa"/>
            <w:shd w:val="clear" w:color="auto" w:fill="F7FAFC"/>
            <w:tcMar>
              <w:top w:w="100" w:type="dxa"/>
              <w:left w:w="150" w:type="dxa"/>
              <w:bottom w:w="100" w:type="dxa"/>
              <w:right w:w="150" w:type="dxa"/>
            </w:tcMar>
          </w:tcPr>
          <w:p w14:paraId="218EB0AC"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Supervised acute food insecurity classification target</w:t>
            </w:r>
          </w:p>
        </w:tc>
      </w:tr>
      <w:tr w:rsidR="000D51DB" w:rsidRPr="00CB1FF3" w14:paraId="63CB8006" w14:textId="77777777">
        <w:trPr>
          <w:jc w:val="center"/>
        </w:trPr>
        <w:tc>
          <w:tcPr>
            <w:tcW w:w="2160" w:type="dxa"/>
            <w:shd w:val="clear" w:color="auto" w:fill="FFFFFF"/>
            <w:tcMar>
              <w:top w:w="100" w:type="dxa"/>
              <w:left w:w="150" w:type="dxa"/>
              <w:bottom w:w="100" w:type="dxa"/>
              <w:right w:w="150" w:type="dxa"/>
            </w:tcMar>
          </w:tcPr>
          <w:p w14:paraId="31F6D310"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data_manifest_sha256</w:t>
            </w:r>
          </w:p>
        </w:tc>
        <w:tc>
          <w:tcPr>
            <w:tcW w:w="1296" w:type="dxa"/>
            <w:shd w:val="clear" w:color="auto" w:fill="FFFFFF"/>
            <w:tcMar>
              <w:top w:w="100" w:type="dxa"/>
              <w:left w:w="150" w:type="dxa"/>
              <w:bottom w:w="100" w:type="dxa"/>
              <w:right w:w="150" w:type="dxa"/>
            </w:tcMar>
          </w:tcPr>
          <w:p w14:paraId="650BD737"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String</w:t>
            </w:r>
          </w:p>
        </w:tc>
        <w:tc>
          <w:tcPr>
            <w:tcW w:w="1584" w:type="dxa"/>
            <w:shd w:val="clear" w:color="auto" w:fill="FFFFFF"/>
            <w:tcMar>
              <w:top w:w="100" w:type="dxa"/>
              <w:left w:w="150" w:type="dxa"/>
              <w:bottom w:w="100" w:type="dxa"/>
              <w:right w:w="150" w:type="dxa"/>
            </w:tcMar>
          </w:tcPr>
          <w:p w14:paraId="124C40FC"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Hex Hash</w:t>
            </w:r>
          </w:p>
        </w:tc>
        <w:tc>
          <w:tcPr>
            <w:tcW w:w="1872" w:type="dxa"/>
            <w:shd w:val="clear" w:color="auto" w:fill="FFFFFF"/>
            <w:tcMar>
              <w:top w:w="100" w:type="dxa"/>
              <w:left w:w="150" w:type="dxa"/>
              <w:bottom w:w="100" w:type="dxa"/>
              <w:right w:w="150" w:type="dxa"/>
            </w:tcMar>
          </w:tcPr>
          <w:p w14:paraId="1265BB85"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Manifest System</w:t>
            </w:r>
          </w:p>
        </w:tc>
        <w:tc>
          <w:tcPr>
            <w:tcW w:w="2448" w:type="dxa"/>
            <w:shd w:val="clear" w:color="auto" w:fill="FFFFFF"/>
            <w:tcMar>
              <w:top w:w="100" w:type="dxa"/>
              <w:left w:w="150" w:type="dxa"/>
              <w:bottom w:w="100" w:type="dxa"/>
              <w:right w:w="150" w:type="dxa"/>
            </w:tcMar>
          </w:tcPr>
          <w:p w14:paraId="63D7AB17"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Cryptographic integrity verification checksum</w:t>
            </w:r>
          </w:p>
        </w:tc>
      </w:tr>
    </w:tbl>
    <w:p w14:paraId="10FB4AE3" w14:textId="77777777" w:rsidR="000D51DB" w:rsidRPr="00CB1FF3" w:rsidRDefault="00CB1FF3" w:rsidP="00CB1FF3">
      <w:pPr>
        <w:keepNext/>
        <w:spacing w:before="240" w:after="80"/>
        <w:jc w:val="both"/>
        <w:rPr>
          <w:rFonts w:ascii="Times New Roman" w:hAnsi="Times New Roman" w:cs="Times New Roman"/>
        </w:rPr>
      </w:pPr>
      <w:r w:rsidRPr="00CB1FF3">
        <w:rPr>
          <w:rFonts w:ascii="Times New Roman" w:hAnsi="Times New Roman" w:cs="Times New Roman"/>
          <w:b/>
          <w:color w:val="2B6CB0"/>
          <w:sz w:val="24"/>
        </w:rPr>
        <w:t>Appendix B: Mathematical Formulations of Deep Learning Operations</w:t>
      </w:r>
    </w:p>
    <w:tbl>
      <w:tblPr>
        <w:tblW w:w="0" w:type="auto"/>
        <w:jc w:val="center"/>
        <w:tblLayout w:type="fixed"/>
        <w:tblLook w:val="04A0" w:firstRow="1" w:lastRow="0" w:firstColumn="1" w:lastColumn="0" w:noHBand="0" w:noVBand="1"/>
      </w:tblPr>
      <w:tblGrid>
        <w:gridCol w:w="9360"/>
      </w:tblGrid>
      <w:tr w:rsidR="000D51DB" w:rsidRPr="00CB1FF3" w14:paraId="7BFA7BF1" w14:textId="77777777">
        <w:trPr>
          <w:jc w:val="center"/>
        </w:trPr>
        <w:tc>
          <w:tcPr>
            <w:tcW w:w="9360" w:type="dxa"/>
            <w:tcBorders>
              <w:left w:val="single" w:sz="24" w:space="0" w:color="2B6CB0"/>
            </w:tcBorders>
            <w:shd w:val="clear" w:color="auto" w:fill="EDF2F7"/>
            <w:tcMar>
              <w:top w:w="140" w:type="dxa"/>
              <w:left w:w="200" w:type="dxa"/>
              <w:bottom w:w="140" w:type="dxa"/>
              <w:right w:w="200" w:type="dxa"/>
            </w:tcMar>
          </w:tcPr>
          <w:p w14:paraId="13749EBD" w14:textId="77777777" w:rsidR="000D51DB" w:rsidRPr="00CB1FF3" w:rsidRDefault="00CB1FF3" w:rsidP="00CB1FF3">
            <w:pPr>
              <w:spacing w:after="60"/>
              <w:jc w:val="both"/>
              <w:rPr>
                <w:rFonts w:ascii="Times New Roman" w:hAnsi="Times New Roman" w:cs="Times New Roman"/>
              </w:rPr>
            </w:pPr>
            <w:r w:rsidRPr="00CB1FF3">
              <w:rPr>
                <w:rFonts w:ascii="Times New Roman" w:hAnsi="Times New Roman" w:cs="Times New Roman"/>
                <w:b/>
                <w:color w:val="2B6CB0"/>
                <w:sz w:val="19"/>
              </w:rPr>
              <w:t>[MATHEMATICAL FORMULATIONS: CROSS-ATTENTION, FOCAL LOSS &amp; BRIER SKILL SCORE]</w:t>
            </w:r>
            <w:r w:rsidRPr="00CB1FF3">
              <w:rPr>
                <w:rFonts w:ascii="Times New Roman" w:hAnsi="Times New Roman" w:cs="Times New Roman"/>
                <w:b/>
                <w:color w:val="2B6CB0"/>
                <w:sz w:val="19"/>
              </w:rPr>
              <w:br/>
            </w:r>
            <w:r w:rsidRPr="00CB1FF3">
              <w:rPr>
                <w:rFonts w:ascii="Times New Roman" w:hAnsi="Times New Roman" w:cs="Times New Roman"/>
                <w:color w:val="2D3748"/>
                <w:sz w:val="20"/>
              </w:rPr>
              <w:t>1. Multi-Head Cross-Attention Formulation:</w:t>
            </w:r>
            <w:r w:rsidRPr="00CB1FF3">
              <w:rPr>
                <w:rFonts w:ascii="Times New Roman" w:hAnsi="Times New Roman" w:cs="Times New Roman"/>
                <w:color w:val="2D3748"/>
                <w:sz w:val="20"/>
              </w:rPr>
              <w:br/>
              <w:t xml:space="preserve">Given Query Q derived from Temporal Sequence embedding e_temporal, and Key K, Value V derived from </w:t>
            </w:r>
            <w:r w:rsidRPr="00CB1FF3">
              <w:rPr>
                <w:rFonts w:ascii="Times New Roman" w:hAnsi="Times New Roman" w:cs="Times New Roman"/>
                <w:color w:val="2D3748"/>
                <w:sz w:val="20"/>
              </w:rPr>
              <w:lastRenderedPageBreak/>
              <w:t>Spatial Patch embedding e_spatial and Tabular embedding e_tabular:</w:t>
            </w:r>
            <w:r w:rsidRPr="00CB1FF3">
              <w:rPr>
                <w:rFonts w:ascii="Times New Roman" w:hAnsi="Times New Roman" w:cs="Times New Roman"/>
                <w:color w:val="2D3748"/>
                <w:sz w:val="20"/>
              </w:rPr>
              <w:br/>
              <w:t>Attention(Q, K, V) = softmax[(Q * K^T) / sqrt(d_k)] * V</w:t>
            </w:r>
            <w:r w:rsidRPr="00CB1FF3">
              <w:rPr>
                <w:rFonts w:ascii="Times New Roman" w:hAnsi="Times New Roman" w:cs="Times New Roman"/>
                <w:color w:val="2D3748"/>
                <w:sz w:val="20"/>
              </w:rPr>
              <w:br/>
              <w:t>MultiHead(Q, K, V) = Concat(head_1, ..., head_h) * W_O</w:t>
            </w:r>
            <w:r w:rsidRPr="00CB1FF3">
              <w:rPr>
                <w:rFonts w:ascii="Times New Roman" w:hAnsi="Times New Roman" w:cs="Times New Roman"/>
                <w:color w:val="2D3748"/>
                <w:sz w:val="20"/>
              </w:rPr>
              <w:br/>
              <w:t>where head_i = Attention(Q * W_i^Q, K * W_i^K, V * W_i^V)</w:t>
            </w:r>
            <w:r w:rsidRPr="00CB1FF3">
              <w:rPr>
                <w:rFonts w:ascii="Times New Roman" w:hAnsi="Times New Roman" w:cs="Times New Roman"/>
                <w:color w:val="2D3748"/>
                <w:sz w:val="20"/>
              </w:rPr>
              <w:br/>
            </w:r>
            <w:r w:rsidRPr="00CB1FF3">
              <w:rPr>
                <w:rFonts w:ascii="Times New Roman" w:hAnsi="Times New Roman" w:cs="Times New Roman"/>
                <w:color w:val="2D3748"/>
                <w:sz w:val="20"/>
              </w:rPr>
              <w:br/>
              <w:t>2. Focal Loss for Extreme Class Imbalance:</w:t>
            </w:r>
            <w:r w:rsidRPr="00CB1FF3">
              <w:rPr>
                <w:rFonts w:ascii="Times New Roman" w:hAnsi="Times New Roman" w:cs="Times New Roman"/>
                <w:color w:val="2D3748"/>
                <w:sz w:val="20"/>
              </w:rPr>
              <w:br/>
              <w:t>FL(p_t) = -α_t * (1 - p_t)^γ * log(p_t)</w:t>
            </w:r>
            <w:r w:rsidRPr="00CB1FF3">
              <w:rPr>
                <w:rFonts w:ascii="Times New Roman" w:hAnsi="Times New Roman" w:cs="Times New Roman"/>
                <w:color w:val="2D3748"/>
                <w:sz w:val="20"/>
              </w:rPr>
              <w:br/>
              <w:t>where p_t is the model's estimated probability for the ground-truth class, α_t balances class frequencies, and γ = 2.0 smoothly reduces the loss contribution from easy negative examples, focusing training on rare severe drought (IPC Phase 4/5) events.</w:t>
            </w:r>
            <w:r w:rsidRPr="00CB1FF3">
              <w:rPr>
                <w:rFonts w:ascii="Times New Roman" w:hAnsi="Times New Roman" w:cs="Times New Roman"/>
                <w:color w:val="2D3748"/>
                <w:sz w:val="20"/>
              </w:rPr>
              <w:br/>
            </w:r>
            <w:r w:rsidRPr="00CB1FF3">
              <w:rPr>
                <w:rFonts w:ascii="Times New Roman" w:hAnsi="Times New Roman" w:cs="Times New Roman"/>
                <w:color w:val="2D3748"/>
                <w:sz w:val="20"/>
              </w:rPr>
              <w:br/>
              <w:t>3. Brier Skill Score (BSS) for 'Honest Lead Horizon' Gating:</w:t>
            </w:r>
            <w:r w:rsidRPr="00CB1FF3">
              <w:rPr>
                <w:rFonts w:ascii="Times New Roman" w:hAnsi="Times New Roman" w:cs="Times New Roman"/>
                <w:color w:val="2D3748"/>
                <w:sz w:val="20"/>
              </w:rPr>
              <w:br/>
              <w:t>BS = (1 / N) * Σ (f_n - o_n)^2</w:t>
            </w:r>
            <w:r w:rsidRPr="00CB1FF3">
              <w:rPr>
                <w:rFonts w:ascii="Times New Roman" w:hAnsi="Times New Roman" w:cs="Times New Roman"/>
                <w:color w:val="2D3748"/>
                <w:sz w:val="20"/>
              </w:rPr>
              <w:br/>
              <w:t>BSS = 1 - [BS_{model} / BS_{climatology}]</w:t>
            </w:r>
            <w:r w:rsidRPr="00CB1FF3">
              <w:rPr>
                <w:rFonts w:ascii="Times New Roman" w:hAnsi="Times New Roman" w:cs="Times New Roman"/>
                <w:color w:val="2D3748"/>
                <w:sz w:val="20"/>
              </w:rPr>
              <w:br/>
              <w:t>where f_n is the forecast probability, o_n in {0, 1} is observed occurrence, and BS_{climatology} is the Brier score of long-term historical base rates.</w:t>
            </w:r>
          </w:p>
        </w:tc>
      </w:tr>
    </w:tbl>
    <w:p w14:paraId="5371D119" w14:textId="77777777" w:rsidR="000D51DB" w:rsidRPr="00CB1FF3" w:rsidRDefault="000D51DB" w:rsidP="00CB1FF3">
      <w:pPr>
        <w:spacing w:after="120"/>
        <w:jc w:val="both"/>
        <w:rPr>
          <w:rFonts w:ascii="Times New Roman" w:hAnsi="Times New Roman" w:cs="Times New Roman"/>
        </w:rPr>
      </w:pPr>
    </w:p>
    <w:p w14:paraId="506F925C" w14:textId="77777777" w:rsidR="000D51DB" w:rsidRPr="00CB1FF3" w:rsidRDefault="00CB1FF3" w:rsidP="00CB1FF3">
      <w:pPr>
        <w:keepNext/>
        <w:spacing w:before="240" w:after="80"/>
        <w:jc w:val="both"/>
        <w:rPr>
          <w:rFonts w:ascii="Times New Roman" w:hAnsi="Times New Roman" w:cs="Times New Roman"/>
        </w:rPr>
      </w:pPr>
      <w:r w:rsidRPr="00CB1FF3">
        <w:rPr>
          <w:rFonts w:ascii="Times New Roman" w:hAnsi="Times New Roman" w:cs="Times New Roman"/>
          <w:b/>
          <w:color w:val="2B6CB0"/>
          <w:sz w:val="24"/>
        </w:rPr>
        <w:t>Appendix C: Comprehensive 14-Experiment Baseline &amp; Ablation Matrix</w:t>
      </w:r>
    </w:p>
    <w:p w14:paraId="634EAAF0"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To rigorously quantify the empirical value of multimodal hybridization, 14 systematically designed baseline and ablation experiments will be executed under identical chronological splits:</w:t>
      </w:r>
    </w:p>
    <w:tbl>
      <w:tblPr>
        <w:tblW w:w="0" w:type="auto"/>
        <w:jc w:val="center"/>
        <w:tblBorders>
          <w:top w:val="single" w:sz="6" w:space="0" w:color="CBD5E0"/>
          <w:bottom w:val="single" w:sz="6" w:space="0" w:color="CBD5E0"/>
          <w:insideH w:val="single" w:sz="4" w:space="0" w:color="CBD5E0"/>
        </w:tblBorders>
        <w:tblLook w:val="04A0" w:firstRow="1" w:lastRow="0" w:firstColumn="1" w:lastColumn="0" w:noHBand="0" w:noVBand="1"/>
      </w:tblPr>
      <w:tblGrid>
        <w:gridCol w:w="1152"/>
        <w:gridCol w:w="2592"/>
        <w:gridCol w:w="3168"/>
        <w:gridCol w:w="2448"/>
      </w:tblGrid>
      <w:tr w:rsidR="000D51DB" w:rsidRPr="00CB1FF3" w14:paraId="169775EF" w14:textId="77777777">
        <w:trPr>
          <w:jc w:val="center"/>
        </w:trPr>
        <w:tc>
          <w:tcPr>
            <w:tcW w:w="1152" w:type="dxa"/>
            <w:shd w:val="clear" w:color="auto" w:fill="1A365D"/>
            <w:tcMar>
              <w:top w:w="120" w:type="dxa"/>
              <w:left w:w="150" w:type="dxa"/>
              <w:bottom w:w="120" w:type="dxa"/>
              <w:right w:w="150" w:type="dxa"/>
            </w:tcMar>
          </w:tcPr>
          <w:p w14:paraId="5C009905"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b/>
                <w:color w:val="FFFFFF"/>
                <w:sz w:val="19"/>
              </w:rPr>
              <w:t>Exp ID</w:t>
            </w:r>
          </w:p>
        </w:tc>
        <w:tc>
          <w:tcPr>
            <w:tcW w:w="2592" w:type="dxa"/>
            <w:shd w:val="clear" w:color="auto" w:fill="1A365D"/>
            <w:tcMar>
              <w:top w:w="120" w:type="dxa"/>
              <w:left w:w="150" w:type="dxa"/>
              <w:bottom w:w="120" w:type="dxa"/>
              <w:right w:w="150" w:type="dxa"/>
            </w:tcMar>
          </w:tcPr>
          <w:p w14:paraId="1DFB3ADF"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b/>
                <w:color w:val="FFFFFF"/>
                <w:sz w:val="19"/>
              </w:rPr>
              <w:t>Model Family / Architecture</w:t>
            </w:r>
          </w:p>
        </w:tc>
        <w:tc>
          <w:tcPr>
            <w:tcW w:w="3168" w:type="dxa"/>
            <w:shd w:val="clear" w:color="auto" w:fill="1A365D"/>
            <w:tcMar>
              <w:top w:w="120" w:type="dxa"/>
              <w:left w:w="150" w:type="dxa"/>
              <w:bottom w:w="120" w:type="dxa"/>
              <w:right w:w="150" w:type="dxa"/>
            </w:tcMar>
          </w:tcPr>
          <w:p w14:paraId="4A0E3F9F"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b/>
                <w:color w:val="FFFFFF"/>
                <w:sz w:val="19"/>
              </w:rPr>
              <w:t>Input Modalities Evaluated</w:t>
            </w:r>
          </w:p>
        </w:tc>
        <w:tc>
          <w:tcPr>
            <w:tcW w:w="2448" w:type="dxa"/>
            <w:shd w:val="clear" w:color="auto" w:fill="1A365D"/>
            <w:tcMar>
              <w:top w:w="120" w:type="dxa"/>
              <w:left w:w="150" w:type="dxa"/>
              <w:bottom w:w="120" w:type="dxa"/>
              <w:right w:w="150" w:type="dxa"/>
            </w:tcMar>
          </w:tcPr>
          <w:p w14:paraId="1FABA2F6"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b/>
                <w:color w:val="FFFFFF"/>
                <w:sz w:val="19"/>
              </w:rPr>
              <w:t>Primary Scientific Objective</w:t>
            </w:r>
          </w:p>
        </w:tc>
      </w:tr>
      <w:tr w:rsidR="000D51DB" w:rsidRPr="00CB1FF3" w14:paraId="4BEF2D20" w14:textId="77777777">
        <w:trPr>
          <w:jc w:val="center"/>
        </w:trPr>
        <w:tc>
          <w:tcPr>
            <w:tcW w:w="1152" w:type="dxa"/>
            <w:shd w:val="clear" w:color="auto" w:fill="FFFFFF"/>
            <w:tcMar>
              <w:top w:w="100" w:type="dxa"/>
              <w:left w:w="150" w:type="dxa"/>
              <w:bottom w:w="100" w:type="dxa"/>
              <w:right w:w="150" w:type="dxa"/>
            </w:tcMar>
          </w:tcPr>
          <w:p w14:paraId="4B941F00"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E01</w:t>
            </w:r>
          </w:p>
        </w:tc>
        <w:tc>
          <w:tcPr>
            <w:tcW w:w="2592" w:type="dxa"/>
            <w:shd w:val="clear" w:color="auto" w:fill="FFFFFF"/>
            <w:tcMar>
              <w:top w:w="100" w:type="dxa"/>
              <w:left w:w="150" w:type="dxa"/>
              <w:bottom w:w="100" w:type="dxa"/>
              <w:right w:w="150" w:type="dxa"/>
            </w:tcMar>
          </w:tcPr>
          <w:p w14:paraId="0C76204A"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Logistic Regression Baseline</w:t>
            </w:r>
          </w:p>
        </w:tc>
        <w:tc>
          <w:tcPr>
            <w:tcW w:w="3168" w:type="dxa"/>
            <w:shd w:val="clear" w:color="auto" w:fill="FFFFFF"/>
            <w:tcMar>
              <w:top w:w="100" w:type="dxa"/>
              <w:left w:w="150" w:type="dxa"/>
              <w:bottom w:w="100" w:type="dxa"/>
              <w:right w:w="150" w:type="dxa"/>
            </w:tcMar>
          </w:tcPr>
          <w:p w14:paraId="2AC16FD4"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Tabular environmental aggregates only</w:t>
            </w:r>
          </w:p>
        </w:tc>
        <w:tc>
          <w:tcPr>
            <w:tcW w:w="2448" w:type="dxa"/>
            <w:shd w:val="clear" w:color="auto" w:fill="FFFFFF"/>
            <w:tcMar>
              <w:top w:w="100" w:type="dxa"/>
              <w:left w:w="150" w:type="dxa"/>
              <w:bottom w:w="100" w:type="dxa"/>
              <w:right w:w="150" w:type="dxa"/>
            </w:tcMar>
          </w:tcPr>
          <w:p w14:paraId="59EBF3A7"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Establish simple linear classification benchmark</w:t>
            </w:r>
          </w:p>
        </w:tc>
      </w:tr>
      <w:tr w:rsidR="000D51DB" w:rsidRPr="00CB1FF3" w14:paraId="5D189A56" w14:textId="77777777">
        <w:trPr>
          <w:jc w:val="center"/>
        </w:trPr>
        <w:tc>
          <w:tcPr>
            <w:tcW w:w="1152" w:type="dxa"/>
            <w:shd w:val="clear" w:color="auto" w:fill="F7FAFC"/>
            <w:tcMar>
              <w:top w:w="100" w:type="dxa"/>
              <w:left w:w="150" w:type="dxa"/>
              <w:bottom w:w="100" w:type="dxa"/>
              <w:right w:w="150" w:type="dxa"/>
            </w:tcMar>
          </w:tcPr>
          <w:p w14:paraId="31A30E33"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E02</w:t>
            </w:r>
          </w:p>
        </w:tc>
        <w:tc>
          <w:tcPr>
            <w:tcW w:w="2592" w:type="dxa"/>
            <w:shd w:val="clear" w:color="auto" w:fill="F7FAFC"/>
            <w:tcMar>
              <w:top w:w="100" w:type="dxa"/>
              <w:left w:w="150" w:type="dxa"/>
              <w:bottom w:w="100" w:type="dxa"/>
              <w:right w:w="150" w:type="dxa"/>
            </w:tcMar>
          </w:tcPr>
          <w:p w14:paraId="576491BE"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Random Forest Classifier</w:t>
            </w:r>
          </w:p>
        </w:tc>
        <w:tc>
          <w:tcPr>
            <w:tcW w:w="3168" w:type="dxa"/>
            <w:shd w:val="clear" w:color="auto" w:fill="F7FAFC"/>
            <w:tcMar>
              <w:top w:w="100" w:type="dxa"/>
              <w:left w:w="150" w:type="dxa"/>
              <w:bottom w:w="100" w:type="dxa"/>
              <w:right w:w="150" w:type="dxa"/>
            </w:tcMar>
          </w:tcPr>
          <w:p w14:paraId="48381059"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Tabular environmental + socioeconomic features</w:t>
            </w:r>
          </w:p>
        </w:tc>
        <w:tc>
          <w:tcPr>
            <w:tcW w:w="2448" w:type="dxa"/>
            <w:shd w:val="clear" w:color="auto" w:fill="F7FAFC"/>
            <w:tcMar>
              <w:top w:w="100" w:type="dxa"/>
              <w:left w:w="150" w:type="dxa"/>
              <w:bottom w:w="100" w:type="dxa"/>
              <w:right w:w="150" w:type="dxa"/>
            </w:tcMar>
          </w:tcPr>
          <w:p w14:paraId="29D7F682"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Non-linear tree ensemble tabular benchmark</w:t>
            </w:r>
          </w:p>
        </w:tc>
      </w:tr>
      <w:tr w:rsidR="000D51DB" w:rsidRPr="00CB1FF3" w14:paraId="637BB85B" w14:textId="77777777">
        <w:trPr>
          <w:jc w:val="center"/>
        </w:trPr>
        <w:tc>
          <w:tcPr>
            <w:tcW w:w="1152" w:type="dxa"/>
            <w:shd w:val="clear" w:color="auto" w:fill="FFFFFF"/>
            <w:tcMar>
              <w:top w:w="100" w:type="dxa"/>
              <w:left w:w="150" w:type="dxa"/>
              <w:bottom w:w="100" w:type="dxa"/>
              <w:right w:w="150" w:type="dxa"/>
            </w:tcMar>
          </w:tcPr>
          <w:p w14:paraId="13E5CF87"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E03</w:t>
            </w:r>
          </w:p>
        </w:tc>
        <w:tc>
          <w:tcPr>
            <w:tcW w:w="2592" w:type="dxa"/>
            <w:shd w:val="clear" w:color="auto" w:fill="FFFFFF"/>
            <w:tcMar>
              <w:top w:w="100" w:type="dxa"/>
              <w:left w:w="150" w:type="dxa"/>
              <w:bottom w:w="100" w:type="dxa"/>
              <w:right w:w="150" w:type="dxa"/>
            </w:tcMar>
          </w:tcPr>
          <w:p w14:paraId="7257324D"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XGBoost Classifier</w:t>
            </w:r>
          </w:p>
        </w:tc>
        <w:tc>
          <w:tcPr>
            <w:tcW w:w="3168" w:type="dxa"/>
            <w:shd w:val="clear" w:color="auto" w:fill="FFFFFF"/>
            <w:tcMar>
              <w:top w:w="100" w:type="dxa"/>
              <w:left w:w="150" w:type="dxa"/>
              <w:bottom w:w="100" w:type="dxa"/>
              <w:right w:w="150" w:type="dxa"/>
            </w:tcMar>
          </w:tcPr>
          <w:p w14:paraId="1631A006"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All engineered tabular features + anomalies</w:t>
            </w:r>
          </w:p>
        </w:tc>
        <w:tc>
          <w:tcPr>
            <w:tcW w:w="2448" w:type="dxa"/>
            <w:shd w:val="clear" w:color="auto" w:fill="FFFFFF"/>
            <w:tcMar>
              <w:top w:w="100" w:type="dxa"/>
              <w:left w:w="150" w:type="dxa"/>
              <w:bottom w:w="100" w:type="dxa"/>
              <w:right w:w="150" w:type="dxa"/>
            </w:tcMar>
          </w:tcPr>
          <w:p w14:paraId="08D4B6F6"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State-of-the-art gradient boosted tree tabular baseline</w:t>
            </w:r>
          </w:p>
        </w:tc>
      </w:tr>
      <w:tr w:rsidR="000D51DB" w:rsidRPr="00CB1FF3" w14:paraId="64CEA417" w14:textId="77777777">
        <w:trPr>
          <w:jc w:val="center"/>
        </w:trPr>
        <w:tc>
          <w:tcPr>
            <w:tcW w:w="1152" w:type="dxa"/>
            <w:shd w:val="clear" w:color="auto" w:fill="F7FAFC"/>
            <w:tcMar>
              <w:top w:w="100" w:type="dxa"/>
              <w:left w:w="150" w:type="dxa"/>
              <w:bottom w:w="100" w:type="dxa"/>
              <w:right w:w="150" w:type="dxa"/>
            </w:tcMar>
          </w:tcPr>
          <w:p w14:paraId="1C5C75B8"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E04</w:t>
            </w:r>
          </w:p>
        </w:tc>
        <w:tc>
          <w:tcPr>
            <w:tcW w:w="2592" w:type="dxa"/>
            <w:shd w:val="clear" w:color="auto" w:fill="F7FAFC"/>
            <w:tcMar>
              <w:top w:w="100" w:type="dxa"/>
              <w:left w:w="150" w:type="dxa"/>
              <w:bottom w:w="100" w:type="dxa"/>
              <w:right w:w="150" w:type="dxa"/>
            </w:tcMar>
          </w:tcPr>
          <w:p w14:paraId="221CD495"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Dynamical RCM Baseline</w:t>
            </w:r>
          </w:p>
        </w:tc>
        <w:tc>
          <w:tcPr>
            <w:tcW w:w="3168" w:type="dxa"/>
            <w:shd w:val="clear" w:color="auto" w:fill="F7FAFC"/>
            <w:tcMar>
              <w:top w:w="100" w:type="dxa"/>
              <w:left w:w="150" w:type="dxa"/>
              <w:bottom w:w="100" w:type="dxa"/>
              <w:right w:w="150" w:type="dxa"/>
            </w:tcMar>
          </w:tcPr>
          <w:p w14:paraId="47142F92"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Regional Climate Model numerical precipitation</w:t>
            </w:r>
          </w:p>
        </w:tc>
        <w:tc>
          <w:tcPr>
            <w:tcW w:w="2448" w:type="dxa"/>
            <w:shd w:val="clear" w:color="auto" w:fill="F7FAFC"/>
            <w:tcMar>
              <w:top w:w="100" w:type="dxa"/>
              <w:left w:w="150" w:type="dxa"/>
              <w:bottom w:w="100" w:type="dxa"/>
              <w:right w:w="150" w:type="dxa"/>
            </w:tcMar>
          </w:tcPr>
          <w:p w14:paraId="6C71CCE7"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Compare against conventional meteorological physics</w:t>
            </w:r>
          </w:p>
        </w:tc>
      </w:tr>
      <w:tr w:rsidR="000D51DB" w:rsidRPr="00CB1FF3" w14:paraId="42B1E873" w14:textId="77777777">
        <w:trPr>
          <w:jc w:val="center"/>
        </w:trPr>
        <w:tc>
          <w:tcPr>
            <w:tcW w:w="1152" w:type="dxa"/>
            <w:shd w:val="clear" w:color="auto" w:fill="FFFFFF"/>
            <w:tcMar>
              <w:top w:w="100" w:type="dxa"/>
              <w:left w:w="150" w:type="dxa"/>
              <w:bottom w:w="100" w:type="dxa"/>
              <w:right w:w="150" w:type="dxa"/>
            </w:tcMar>
          </w:tcPr>
          <w:p w14:paraId="6679EF07"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E05</w:t>
            </w:r>
          </w:p>
        </w:tc>
        <w:tc>
          <w:tcPr>
            <w:tcW w:w="2592" w:type="dxa"/>
            <w:shd w:val="clear" w:color="auto" w:fill="FFFFFF"/>
            <w:tcMar>
              <w:top w:w="100" w:type="dxa"/>
              <w:left w:w="150" w:type="dxa"/>
              <w:bottom w:w="100" w:type="dxa"/>
              <w:right w:w="150" w:type="dxa"/>
            </w:tcMar>
          </w:tcPr>
          <w:p w14:paraId="6ED3D63A"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Unimodal Spatial 2D-CNN</w:t>
            </w:r>
          </w:p>
        </w:tc>
        <w:tc>
          <w:tcPr>
            <w:tcW w:w="3168" w:type="dxa"/>
            <w:shd w:val="clear" w:color="auto" w:fill="FFFFFF"/>
            <w:tcMar>
              <w:top w:w="100" w:type="dxa"/>
              <w:left w:w="150" w:type="dxa"/>
              <w:bottom w:w="100" w:type="dxa"/>
              <w:right w:w="150" w:type="dxa"/>
            </w:tcMar>
          </w:tcPr>
          <w:p w14:paraId="4FCE647B"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MODIS multi-spectral satellite rasters only</w:t>
            </w:r>
          </w:p>
        </w:tc>
        <w:tc>
          <w:tcPr>
            <w:tcW w:w="2448" w:type="dxa"/>
            <w:shd w:val="clear" w:color="auto" w:fill="FFFFFF"/>
            <w:tcMar>
              <w:top w:w="100" w:type="dxa"/>
              <w:left w:w="150" w:type="dxa"/>
              <w:bottom w:w="100" w:type="dxa"/>
              <w:right w:w="150" w:type="dxa"/>
            </w:tcMar>
          </w:tcPr>
          <w:p w14:paraId="3BF1B4CD"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Isolate predictive skill of visual spatial texture</w:t>
            </w:r>
          </w:p>
        </w:tc>
      </w:tr>
      <w:tr w:rsidR="000D51DB" w:rsidRPr="00CB1FF3" w14:paraId="35796360" w14:textId="77777777">
        <w:trPr>
          <w:jc w:val="center"/>
        </w:trPr>
        <w:tc>
          <w:tcPr>
            <w:tcW w:w="1152" w:type="dxa"/>
            <w:shd w:val="clear" w:color="auto" w:fill="F7FAFC"/>
            <w:tcMar>
              <w:top w:w="100" w:type="dxa"/>
              <w:left w:w="150" w:type="dxa"/>
              <w:bottom w:w="100" w:type="dxa"/>
              <w:right w:w="150" w:type="dxa"/>
            </w:tcMar>
          </w:tcPr>
          <w:p w14:paraId="3E2F64A9"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E06</w:t>
            </w:r>
          </w:p>
        </w:tc>
        <w:tc>
          <w:tcPr>
            <w:tcW w:w="2592" w:type="dxa"/>
            <w:shd w:val="clear" w:color="auto" w:fill="F7FAFC"/>
            <w:tcMar>
              <w:top w:w="100" w:type="dxa"/>
              <w:left w:w="150" w:type="dxa"/>
              <w:bottom w:w="100" w:type="dxa"/>
              <w:right w:w="150" w:type="dxa"/>
            </w:tcMar>
          </w:tcPr>
          <w:p w14:paraId="3B357BEA"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Unimodal Recurrent LSTM</w:t>
            </w:r>
          </w:p>
        </w:tc>
        <w:tc>
          <w:tcPr>
            <w:tcW w:w="3168" w:type="dxa"/>
            <w:shd w:val="clear" w:color="auto" w:fill="F7FAFC"/>
            <w:tcMar>
              <w:top w:w="100" w:type="dxa"/>
              <w:left w:w="150" w:type="dxa"/>
              <w:bottom w:w="100" w:type="dxa"/>
              <w:right w:w="150" w:type="dxa"/>
            </w:tcMar>
          </w:tcPr>
          <w:p w14:paraId="0DDF95A7"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Sequential hydro-climatic time series only</w:t>
            </w:r>
          </w:p>
        </w:tc>
        <w:tc>
          <w:tcPr>
            <w:tcW w:w="2448" w:type="dxa"/>
            <w:shd w:val="clear" w:color="auto" w:fill="F7FAFC"/>
            <w:tcMar>
              <w:top w:w="100" w:type="dxa"/>
              <w:left w:w="150" w:type="dxa"/>
              <w:bottom w:w="100" w:type="dxa"/>
              <w:right w:w="150" w:type="dxa"/>
            </w:tcMar>
          </w:tcPr>
          <w:p w14:paraId="557CF2BF"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Isolate predictive skill of sequential temporal memory</w:t>
            </w:r>
          </w:p>
        </w:tc>
      </w:tr>
      <w:tr w:rsidR="000D51DB" w:rsidRPr="00CB1FF3" w14:paraId="3FD9AF41" w14:textId="77777777">
        <w:trPr>
          <w:jc w:val="center"/>
        </w:trPr>
        <w:tc>
          <w:tcPr>
            <w:tcW w:w="1152" w:type="dxa"/>
            <w:shd w:val="clear" w:color="auto" w:fill="FFFFFF"/>
            <w:tcMar>
              <w:top w:w="100" w:type="dxa"/>
              <w:left w:w="150" w:type="dxa"/>
              <w:bottom w:w="100" w:type="dxa"/>
              <w:right w:w="150" w:type="dxa"/>
            </w:tcMar>
          </w:tcPr>
          <w:p w14:paraId="0CE6397D"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E07</w:t>
            </w:r>
          </w:p>
        </w:tc>
        <w:tc>
          <w:tcPr>
            <w:tcW w:w="2592" w:type="dxa"/>
            <w:shd w:val="clear" w:color="auto" w:fill="FFFFFF"/>
            <w:tcMar>
              <w:top w:w="100" w:type="dxa"/>
              <w:left w:w="150" w:type="dxa"/>
              <w:bottom w:w="100" w:type="dxa"/>
              <w:right w:w="150" w:type="dxa"/>
            </w:tcMar>
          </w:tcPr>
          <w:p w14:paraId="77381B31"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Conv1D-LSTM ENSO Alone</w:t>
            </w:r>
          </w:p>
        </w:tc>
        <w:tc>
          <w:tcPr>
            <w:tcW w:w="3168" w:type="dxa"/>
            <w:shd w:val="clear" w:color="auto" w:fill="FFFFFF"/>
            <w:tcMar>
              <w:top w:w="100" w:type="dxa"/>
              <w:left w:w="150" w:type="dxa"/>
              <w:bottom w:w="100" w:type="dxa"/>
              <w:right w:w="150" w:type="dxa"/>
            </w:tcMar>
          </w:tcPr>
          <w:p w14:paraId="3E781C24"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Equatorial Pacific SST anomalies only</w:t>
            </w:r>
          </w:p>
        </w:tc>
        <w:tc>
          <w:tcPr>
            <w:tcW w:w="2448" w:type="dxa"/>
            <w:shd w:val="clear" w:color="auto" w:fill="FFFFFF"/>
            <w:tcMar>
              <w:top w:w="100" w:type="dxa"/>
              <w:left w:w="150" w:type="dxa"/>
              <w:bottom w:w="100" w:type="dxa"/>
              <w:right w:w="150" w:type="dxa"/>
            </w:tcMar>
          </w:tcPr>
          <w:p w14:paraId="20DC55F1"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Measure skill of remote global teleconnection alone</w:t>
            </w:r>
          </w:p>
        </w:tc>
      </w:tr>
      <w:tr w:rsidR="000D51DB" w:rsidRPr="00CB1FF3" w14:paraId="299D3DF3" w14:textId="77777777">
        <w:trPr>
          <w:jc w:val="center"/>
        </w:trPr>
        <w:tc>
          <w:tcPr>
            <w:tcW w:w="1152" w:type="dxa"/>
            <w:shd w:val="clear" w:color="auto" w:fill="F7FAFC"/>
            <w:tcMar>
              <w:top w:w="100" w:type="dxa"/>
              <w:left w:w="150" w:type="dxa"/>
              <w:bottom w:w="100" w:type="dxa"/>
              <w:right w:w="150" w:type="dxa"/>
            </w:tcMar>
          </w:tcPr>
          <w:p w14:paraId="1D252D01"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lastRenderedPageBreak/>
              <w:t>E08</w:t>
            </w:r>
          </w:p>
        </w:tc>
        <w:tc>
          <w:tcPr>
            <w:tcW w:w="2592" w:type="dxa"/>
            <w:shd w:val="clear" w:color="auto" w:fill="F7FAFC"/>
            <w:tcMar>
              <w:top w:w="100" w:type="dxa"/>
              <w:left w:w="150" w:type="dxa"/>
              <w:bottom w:w="100" w:type="dxa"/>
              <w:right w:w="150" w:type="dxa"/>
            </w:tcMar>
          </w:tcPr>
          <w:p w14:paraId="363C316B"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Dual Fusion: CNN + LSTM</w:t>
            </w:r>
          </w:p>
        </w:tc>
        <w:tc>
          <w:tcPr>
            <w:tcW w:w="3168" w:type="dxa"/>
            <w:shd w:val="clear" w:color="auto" w:fill="F7FAFC"/>
            <w:tcMar>
              <w:top w:w="100" w:type="dxa"/>
              <w:left w:w="150" w:type="dxa"/>
              <w:bottom w:w="100" w:type="dxa"/>
              <w:right w:w="150" w:type="dxa"/>
            </w:tcMar>
          </w:tcPr>
          <w:p w14:paraId="3E40963C"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Satellite patches + temporal climate series</w:t>
            </w:r>
          </w:p>
        </w:tc>
        <w:tc>
          <w:tcPr>
            <w:tcW w:w="2448" w:type="dxa"/>
            <w:shd w:val="clear" w:color="auto" w:fill="F7FAFC"/>
            <w:tcMar>
              <w:top w:w="100" w:type="dxa"/>
              <w:left w:w="150" w:type="dxa"/>
              <w:bottom w:w="100" w:type="dxa"/>
              <w:right w:w="150" w:type="dxa"/>
            </w:tcMar>
          </w:tcPr>
          <w:p w14:paraId="4ED056C2"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Evaluate conventional spatiotemporal coupling</w:t>
            </w:r>
          </w:p>
        </w:tc>
      </w:tr>
      <w:tr w:rsidR="000D51DB" w:rsidRPr="00CB1FF3" w14:paraId="3BA6178E" w14:textId="77777777">
        <w:trPr>
          <w:jc w:val="center"/>
        </w:trPr>
        <w:tc>
          <w:tcPr>
            <w:tcW w:w="1152" w:type="dxa"/>
            <w:shd w:val="clear" w:color="auto" w:fill="FFFFFF"/>
            <w:tcMar>
              <w:top w:w="100" w:type="dxa"/>
              <w:left w:w="150" w:type="dxa"/>
              <w:bottom w:w="100" w:type="dxa"/>
              <w:right w:w="150" w:type="dxa"/>
            </w:tcMar>
          </w:tcPr>
          <w:p w14:paraId="105E5538"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E09</w:t>
            </w:r>
          </w:p>
        </w:tc>
        <w:tc>
          <w:tcPr>
            <w:tcW w:w="2592" w:type="dxa"/>
            <w:shd w:val="clear" w:color="auto" w:fill="FFFFFF"/>
            <w:tcMar>
              <w:top w:w="100" w:type="dxa"/>
              <w:left w:w="150" w:type="dxa"/>
              <w:bottom w:w="100" w:type="dxa"/>
              <w:right w:w="150" w:type="dxa"/>
            </w:tcMar>
          </w:tcPr>
          <w:p w14:paraId="0DF7F2D4"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Tri-Branch: CNN+LSTM+MLP</w:t>
            </w:r>
          </w:p>
        </w:tc>
        <w:tc>
          <w:tcPr>
            <w:tcW w:w="3168" w:type="dxa"/>
            <w:shd w:val="clear" w:color="auto" w:fill="FFFFFF"/>
            <w:tcMar>
              <w:top w:w="100" w:type="dxa"/>
              <w:left w:w="150" w:type="dxa"/>
              <w:bottom w:w="100" w:type="dxa"/>
              <w:right w:w="150" w:type="dxa"/>
            </w:tcMar>
          </w:tcPr>
          <w:p w14:paraId="7C2B6C4E"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Satellite patches + climate series + tabular socio</w:t>
            </w:r>
          </w:p>
        </w:tc>
        <w:tc>
          <w:tcPr>
            <w:tcW w:w="2448" w:type="dxa"/>
            <w:shd w:val="clear" w:color="auto" w:fill="FFFFFF"/>
            <w:tcMar>
              <w:top w:w="100" w:type="dxa"/>
              <w:left w:w="150" w:type="dxa"/>
              <w:bottom w:w="100" w:type="dxa"/>
              <w:right w:w="150" w:type="dxa"/>
            </w:tcMar>
          </w:tcPr>
          <w:p w14:paraId="28E6DC81"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Assess addition of structured socioeconomic data</w:t>
            </w:r>
          </w:p>
        </w:tc>
      </w:tr>
      <w:tr w:rsidR="000D51DB" w:rsidRPr="00CB1FF3" w14:paraId="79964D76" w14:textId="77777777">
        <w:trPr>
          <w:jc w:val="center"/>
        </w:trPr>
        <w:tc>
          <w:tcPr>
            <w:tcW w:w="1152" w:type="dxa"/>
            <w:shd w:val="clear" w:color="auto" w:fill="F7FAFC"/>
            <w:tcMar>
              <w:top w:w="100" w:type="dxa"/>
              <w:left w:w="150" w:type="dxa"/>
              <w:bottom w:w="100" w:type="dxa"/>
              <w:right w:w="150" w:type="dxa"/>
            </w:tcMar>
          </w:tcPr>
          <w:p w14:paraId="6DE2827E"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E10</w:t>
            </w:r>
          </w:p>
        </w:tc>
        <w:tc>
          <w:tcPr>
            <w:tcW w:w="2592" w:type="dxa"/>
            <w:shd w:val="clear" w:color="auto" w:fill="F7FAFC"/>
            <w:tcMar>
              <w:top w:w="100" w:type="dxa"/>
              <w:left w:w="150" w:type="dxa"/>
              <w:bottom w:w="100" w:type="dxa"/>
              <w:right w:w="150" w:type="dxa"/>
            </w:tcMar>
          </w:tcPr>
          <w:p w14:paraId="25B508CC"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Super-Hybrid (Proposed)</w:t>
            </w:r>
          </w:p>
        </w:tc>
        <w:tc>
          <w:tcPr>
            <w:tcW w:w="3168" w:type="dxa"/>
            <w:shd w:val="clear" w:color="auto" w:fill="F7FAFC"/>
            <w:tcMar>
              <w:top w:w="100" w:type="dxa"/>
              <w:left w:w="150" w:type="dxa"/>
              <w:bottom w:w="100" w:type="dxa"/>
              <w:right w:w="150" w:type="dxa"/>
            </w:tcMar>
          </w:tcPr>
          <w:p w14:paraId="2D1F38AD"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CNN + LSTM + FFT + MLP + Cross-Attention</w:t>
            </w:r>
          </w:p>
        </w:tc>
        <w:tc>
          <w:tcPr>
            <w:tcW w:w="2448" w:type="dxa"/>
            <w:shd w:val="clear" w:color="auto" w:fill="F7FAFC"/>
            <w:tcMar>
              <w:top w:w="100" w:type="dxa"/>
              <w:left w:w="150" w:type="dxa"/>
              <w:bottom w:w="100" w:type="dxa"/>
              <w:right w:w="150" w:type="dxa"/>
            </w:tcMar>
          </w:tcPr>
          <w:p w14:paraId="21CE1207"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Full proposed architecture with harmonic FFT &amp; attention</w:t>
            </w:r>
          </w:p>
        </w:tc>
      </w:tr>
      <w:tr w:rsidR="000D51DB" w:rsidRPr="00CB1FF3" w14:paraId="62A02D67" w14:textId="77777777">
        <w:trPr>
          <w:jc w:val="center"/>
        </w:trPr>
        <w:tc>
          <w:tcPr>
            <w:tcW w:w="1152" w:type="dxa"/>
            <w:shd w:val="clear" w:color="auto" w:fill="FFFFFF"/>
            <w:tcMar>
              <w:top w:w="100" w:type="dxa"/>
              <w:left w:w="150" w:type="dxa"/>
              <w:bottom w:w="100" w:type="dxa"/>
              <w:right w:w="150" w:type="dxa"/>
            </w:tcMar>
          </w:tcPr>
          <w:p w14:paraId="1626AD8B"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E11</w:t>
            </w:r>
          </w:p>
        </w:tc>
        <w:tc>
          <w:tcPr>
            <w:tcW w:w="2592" w:type="dxa"/>
            <w:shd w:val="clear" w:color="auto" w:fill="FFFFFF"/>
            <w:tcMar>
              <w:top w:w="100" w:type="dxa"/>
              <w:left w:w="150" w:type="dxa"/>
              <w:bottom w:w="100" w:type="dxa"/>
              <w:right w:w="150" w:type="dxa"/>
            </w:tcMar>
          </w:tcPr>
          <w:p w14:paraId="64DC62C5"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Lead Horizon: Lead 1</w:t>
            </w:r>
          </w:p>
        </w:tc>
        <w:tc>
          <w:tcPr>
            <w:tcW w:w="3168" w:type="dxa"/>
            <w:shd w:val="clear" w:color="auto" w:fill="FFFFFF"/>
            <w:tcMar>
              <w:top w:w="100" w:type="dxa"/>
              <w:left w:w="150" w:type="dxa"/>
              <w:bottom w:w="100" w:type="dxa"/>
              <w:right w:w="150" w:type="dxa"/>
            </w:tcMar>
          </w:tcPr>
          <w:p w14:paraId="75C5FF06"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Full Super-Hybrid at 1-month lead</w:t>
            </w:r>
          </w:p>
        </w:tc>
        <w:tc>
          <w:tcPr>
            <w:tcW w:w="2448" w:type="dxa"/>
            <w:shd w:val="clear" w:color="auto" w:fill="FFFFFF"/>
            <w:tcMar>
              <w:top w:w="100" w:type="dxa"/>
              <w:left w:w="150" w:type="dxa"/>
              <w:bottom w:w="100" w:type="dxa"/>
              <w:right w:w="150" w:type="dxa"/>
            </w:tcMar>
          </w:tcPr>
          <w:p w14:paraId="47D572C1"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Assess immediate lead predictive skill and BSS</w:t>
            </w:r>
          </w:p>
        </w:tc>
      </w:tr>
      <w:tr w:rsidR="000D51DB" w:rsidRPr="00CB1FF3" w14:paraId="3D2866E5" w14:textId="77777777">
        <w:trPr>
          <w:jc w:val="center"/>
        </w:trPr>
        <w:tc>
          <w:tcPr>
            <w:tcW w:w="1152" w:type="dxa"/>
            <w:shd w:val="clear" w:color="auto" w:fill="F7FAFC"/>
            <w:tcMar>
              <w:top w:w="100" w:type="dxa"/>
              <w:left w:w="150" w:type="dxa"/>
              <w:bottom w:w="100" w:type="dxa"/>
              <w:right w:w="150" w:type="dxa"/>
            </w:tcMar>
          </w:tcPr>
          <w:p w14:paraId="35FAB9B6"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E12</w:t>
            </w:r>
          </w:p>
        </w:tc>
        <w:tc>
          <w:tcPr>
            <w:tcW w:w="2592" w:type="dxa"/>
            <w:shd w:val="clear" w:color="auto" w:fill="F7FAFC"/>
            <w:tcMar>
              <w:top w:w="100" w:type="dxa"/>
              <w:left w:w="150" w:type="dxa"/>
              <w:bottom w:w="100" w:type="dxa"/>
              <w:right w:w="150" w:type="dxa"/>
            </w:tcMar>
          </w:tcPr>
          <w:p w14:paraId="6EB3472B"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Lead Horizon: Lead 2</w:t>
            </w:r>
          </w:p>
        </w:tc>
        <w:tc>
          <w:tcPr>
            <w:tcW w:w="3168" w:type="dxa"/>
            <w:shd w:val="clear" w:color="auto" w:fill="F7FAFC"/>
            <w:tcMar>
              <w:top w:w="100" w:type="dxa"/>
              <w:left w:w="150" w:type="dxa"/>
              <w:bottom w:w="100" w:type="dxa"/>
              <w:right w:w="150" w:type="dxa"/>
            </w:tcMar>
          </w:tcPr>
          <w:p w14:paraId="6EBE2478"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Full Super-Hybrid at 2-month lead</w:t>
            </w:r>
          </w:p>
        </w:tc>
        <w:tc>
          <w:tcPr>
            <w:tcW w:w="2448" w:type="dxa"/>
            <w:shd w:val="clear" w:color="auto" w:fill="F7FAFC"/>
            <w:tcMar>
              <w:top w:w="100" w:type="dxa"/>
              <w:left w:w="150" w:type="dxa"/>
              <w:bottom w:w="100" w:type="dxa"/>
              <w:right w:w="150" w:type="dxa"/>
            </w:tcMar>
          </w:tcPr>
          <w:p w14:paraId="0F8A0682"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Assess medium-range lead predictive skill and BSS</w:t>
            </w:r>
          </w:p>
        </w:tc>
      </w:tr>
      <w:tr w:rsidR="000D51DB" w:rsidRPr="00CB1FF3" w14:paraId="4C7982EC" w14:textId="77777777">
        <w:trPr>
          <w:jc w:val="center"/>
        </w:trPr>
        <w:tc>
          <w:tcPr>
            <w:tcW w:w="1152" w:type="dxa"/>
            <w:shd w:val="clear" w:color="auto" w:fill="FFFFFF"/>
            <w:tcMar>
              <w:top w:w="100" w:type="dxa"/>
              <w:left w:w="150" w:type="dxa"/>
              <w:bottom w:w="100" w:type="dxa"/>
              <w:right w:w="150" w:type="dxa"/>
            </w:tcMar>
          </w:tcPr>
          <w:p w14:paraId="52002579"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E13</w:t>
            </w:r>
          </w:p>
        </w:tc>
        <w:tc>
          <w:tcPr>
            <w:tcW w:w="2592" w:type="dxa"/>
            <w:shd w:val="clear" w:color="auto" w:fill="FFFFFF"/>
            <w:tcMar>
              <w:top w:w="100" w:type="dxa"/>
              <w:left w:w="150" w:type="dxa"/>
              <w:bottom w:w="100" w:type="dxa"/>
              <w:right w:w="150" w:type="dxa"/>
            </w:tcMar>
          </w:tcPr>
          <w:p w14:paraId="6AAA7B54"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Lead Horizon: Lead 3</w:t>
            </w:r>
          </w:p>
        </w:tc>
        <w:tc>
          <w:tcPr>
            <w:tcW w:w="3168" w:type="dxa"/>
            <w:shd w:val="clear" w:color="auto" w:fill="FFFFFF"/>
            <w:tcMar>
              <w:top w:w="100" w:type="dxa"/>
              <w:left w:w="150" w:type="dxa"/>
              <w:bottom w:w="100" w:type="dxa"/>
              <w:right w:w="150" w:type="dxa"/>
            </w:tcMar>
          </w:tcPr>
          <w:p w14:paraId="294A46B2"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Full Super-Hybrid at 3-month lead</w:t>
            </w:r>
          </w:p>
        </w:tc>
        <w:tc>
          <w:tcPr>
            <w:tcW w:w="2448" w:type="dxa"/>
            <w:shd w:val="clear" w:color="auto" w:fill="FFFFFF"/>
            <w:tcMar>
              <w:top w:w="100" w:type="dxa"/>
              <w:left w:w="150" w:type="dxa"/>
              <w:bottom w:w="100" w:type="dxa"/>
              <w:right w:w="150" w:type="dxa"/>
            </w:tcMar>
          </w:tcPr>
          <w:p w14:paraId="2186D3D6"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Assess seasonal lead predictive skill and BSS gating</w:t>
            </w:r>
          </w:p>
        </w:tc>
      </w:tr>
      <w:tr w:rsidR="000D51DB" w:rsidRPr="00CB1FF3" w14:paraId="4C577580" w14:textId="77777777">
        <w:trPr>
          <w:jc w:val="center"/>
        </w:trPr>
        <w:tc>
          <w:tcPr>
            <w:tcW w:w="1152" w:type="dxa"/>
            <w:shd w:val="clear" w:color="auto" w:fill="F7FAFC"/>
            <w:tcMar>
              <w:top w:w="100" w:type="dxa"/>
              <w:left w:w="150" w:type="dxa"/>
              <w:bottom w:w="100" w:type="dxa"/>
              <w:right w:w="150" w:type="dxa"/>
            </w:tcMar>
          </w:tcPr>
          <w:p w14:paraId="6CA06AD4"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E14</w:t>
            </w:r>
          </w:p>
        </w:tc>
        <w:tc>
          <w:tcPr>
            <w:tcW w:w="2592" w:type="dxa"/>
            <w:shd w:val="clear" w:color="auto" w:fill="F7FAFC"/>
            <w:tcMar>
              <w:top w:w="100" w:type="dxa"/>
              <w:left w:w="150" w:type="dxa"/>
              <w:bottom w:w="100" w:type="dxa"/>
              <w:right w:w="150" w:type="dxa"/>
            </w:tcMar>
          </w:tcPr>
          <w:p w14:paraId="612F31B6"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Spatial Holdout Validation</w:t>
            </w:r>
          </w:p>
        </w:tc>
        <w:tc>
          <w:tcPr>
            <w:tcW w:w="3168" w:type="dxa"/>
            <w:shd w:val="clear" w:color="auto" w:fill="F7FAFC"/>
            <w:tcMar>
              <w:top w:w="100" w:type="dxa"/>
              <w:left w:w="150" w:type="dxa"/>
              <w:bottom w:w="100" w:type="dxa"/>
              <w:right w:w="150" w:type="dxa"/>
            </w:tcMar>
          </w:tcPr>
          <w:p w14:paraId="6A930621"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Full Super-Hybrid evaluated on held-out woredas</w:t>
            </w:r>
          </w:p>
        </w:tc>
        <w:tc>
          <w:tcPr>
            <w:tcW w:w="2448" w:type="dxa"/>
            <w:shd w:val="clear" w:color="auto" w:fill="F7FAFC"/>
            <w:tcMar>
              <w:top w:w="100" w:type="dxa"/>
              <w:left w:w="150" w:type="dxa"/>
              <w:bottom w:w="100" w:type="dxa"/>
              <w:right w:w="150" w:type="dxa"/>
            </w:tcMar>
          </w:tcPr>
          <w:p w14:paraId="255F1939"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Verify spatial generalization across unseen topography</w:t>
            </w:r>
          </w:p>
        </w:tc>
      </w:tr>
    </w:tbl>
    <w:p w14:paraId="52438884" w14:textId="77777777" w:rsidR="000D51DB" w:rsidRPr="00CB1FF3" w:rsidRDefault="00CB1FF3" w:rsidP="00CB1FF3">
      <w:pPr>
        <w:keepNext/>
        <w:spacing w:before="240" w:after="80"/>
        <w:jc w:val="both"/>
        <w:rPr>
          <w:rFonts w:ascii="Times New Roman" w:hAnsi="Times New Roman" w:cs="Times New Roman"/>
        </w:rPr>
      </w:pPr>
      <w:r w:rsidRPr="00CB1FF3">
        <w:rPr>
          <w:rFonts w:ascii="Times New Roman" w:hAnsi="Times New Roman" w:cs="Times New Roman"/>
          <w:b/>
          <w:color w:val="2B6CB0"/>
          <w:sz w:val="24"/>
        </w:rPr>
        <w:t>Appendix D: Neo4j Knowledge Graph Cypher Schema &amp; Cascading Query Examples</w:t>
      </w:r>
    </w:p>
    <w:tbl>
      <w:tblPr>
        <w:tblW w:w="0" w:type="auto"/>
        <w:tblLayout w:type="fixed"/>
        <w:tblLook w:val="04A0" w:firstRow="1" w:lastRow="0" w:firstColumn="1" w:lastColumn="0" w:noHBand="0" w:noVBand="1"/>
      </w:tblPr>
      <w:tblGrid>
        <w:gridCol w:w="9360"/>
      </w:tblGrid>
      <w:tr w:rsidR="000D51DB" w:rsidRPr="00CB1FF3" w14:paraId="37231063" w14:textId="77777777" w:rsidTr="00CB1FF3">
        <w:tc>
          <w:tcPr>
            <w:tcW w:w="9360" w:type="dxa"/>
            <w:tcBorders>
              <w:left w:val="single" w:sz="24" w:space="0" w:color="2B6CB0"/>
            </w:tcBorders>
            <w:shd w:val="clear" w:color="auto" w:fill="EDF2F7"/>
            <w:tcMar>
              <w:top w:w="140" w:type="dxa"/>
              <w:left w:w="200" w:type="dxa"/>
              <w:bottom w:w="140" w:type="dxa"/>
              <w:right w:w="200" w:type="dxa"/>
            </w:tcMar>
          </w:tcPr>
          <w:p w14:paraId="03D901B4" w14:textId="77777777" w:rsidR="000D51DB" w:rsidRPr="00CB1FF3" w:rsidRDefault="00CB1FF3" w:rsidP="00CB1FF3">
            <w:pPr>
              <w:spacing w:after="60"/>
              <w:jc w:val="both"/>
              <w:rPr>
                <w:rFonts w:ascii="Times New Roman" w:hAnsi="Times New Roman" w:cs="Times New Roman"/>
              </w:rPr>
            </w:pPr>
            <w:r w:rsidRPr="00CB1FF3">
              <w:rPr>
                <w:rFonts w:ascii="Times New Roman" w:hAnsi="Times New Roman" w:cs="Times New Roman"/>
                <w:b/>
                <w:color w:val="2B6CB0"/>
                <w:sz w:val="19"/>
              </w:rPr>
              <w:t>[NEO4J CYPHER QUERY: COMPOUNDED MULTI-HAZARD RISK RETRIEVAL]</w:t>
            </w:r>
            <w:r w:rsidRPr="00CB1FF3">
              <w:rPr>
                <w:rFonts w:ascii="Times New Roman" w:hAnsi="Times New Roman" w:cs="Times New Roman"/>
                <w:b/>
                <w:color w:val="2B6CB0"/>
                <w:sz w:val="19"/>
              </w:rPr>
              <w:br/>
            </w:r>
            <w:r w:rsidRPr="00CB1FF3">
              <w:rPr>
                <w:rFonts w:ascii="Times New Roman" w:hAnsi="Times New Roman" w:cs="Times New Roman"/>
                <w:color w:val="2D3748"/>
                <w:sz w:val="20"/>
              </w:rPr>
              <w:t>// Cypher Query: Identify Woredas experiencing compounded Drought &amp; Food Insecurity</w:t>
            </w:r>
            <w:r w:rsidRPr="00CB1FF3">
              <w:rPr>
                <w:rFonts w:ascii="Times New Roman" w:hAnsi="Times New Roman" w:cs="Times New Roman"/>
                <w:color w:val="2D3748"/>
                <w:sz w:val="20"/>
              </w:rPr>
              <w:br/>
              <w:t>// with vulnerable sorghum or maize crops, returning population at risk</w:t>
            </w:r>
            <w:r w:rsidRPr="00CB1FF3">
              <w:rPr>
                <w:rFonts w:ascii="Times New Roman" w:hAnsi="Times New Roman" w:cs="Times New Roman"/>
                <w:color w:val="2D3748"/>
                <w:sz w:val="20"/>
              </w:rPr>
              <w:br/>
            </w:r>
            <w:r w:rsidRPr="00CB1FF3">
              <w:rPr>
                <w:rFonts w:ascii="Times New Roman" w:hAnsi="Times New Roman" w:cs="Times New Roman"/>
                <w:color w:val="2D3748"/>
                <w:sz w:val="20"/>
              </w:rPr>
              <w:br/>
              <w:t>MATCH (w:Woreda)-[:LOCATED_IN]-&gt;(z:Zone {name: 'East Hararghe'})</w:t>
            </w:r>
            <w:r w:rsidRPr="00CB1FF3">
              <w:rPr>
                <w:rFonts w:ascii="Times New Roman" w:hAnsi="Times New Roman" w:cs="Times New Roman"/>
                <w:color w:val="2D3748"/>
                <w:sz w:val="20"/>
              </w:rPr>
              <w:br/>
              <w:t>MATCH (w)-[:EXPERIENCES_DROUGHT]-&gt;(d:DroughtEvent {season: 'Belg 2026'})</w:t>
            </w:r>
            <w:r w:rsidRPr="00CB1FF3">
              <w:rPr>
                <w:rFonts w:ascii="Times New Roman" w:hAnsi="Times New Roman" w:cs="Times New Roman"/>
                <w:color w:val="2D3748"/>
                <w:sz w:val="20"/>
              </w:rPr>
              <w:br/>
              <w:t>MATCH (w)-[:CULTIVATES_CROP]-&gt;(c:Crop)</w:t>
            </w:r>
            <w:r w:rsidRPr="00CB1FF3">
              <w:rPr>
                <w:rFonts w:ascii="Times New Roman" w:hAnsi="Times New Roman" w:cs="Times New Roman"/>
                <w:color w:val="2D3748"/>
                <w:sz w:val="20"/>
              </w:rPr>
              <w:br/>
              <w:t>MATCH (w)-[:HAS_POPULATION]-&gt;(p:VulnerablePopulation)</w:t>
            </w:r>
            <w:r w:rsidRPr="00CB1FF3">
              <w:rPr>
                <w:rFonts w:ascii="Times New Roman" w:hAnsi="Times New Roman" w:cs="Times New Roman"/>
                <w:color w:val="2D3748"/>
                <w:sz w:val="20"/>
              </w:rPr>
              <w:br/>
              <w:t>MATCH (w)-[:SUFFERS_FOOD_INSECURITY]-&gt;(f:FoodInsecurityStatus)</w:t>
            </w:r>
            <w:r w:rsidRPr="00CB1FF3">
              <w:rPr>
                <w:rFonts w:ascii="Times New Roman" w:hAnsi="Times New Roman" w:cs="Times New Roman"/>
                <w:color w:val="2D3748"/>
                <w:sz w:val="20"/>
              </w:rPr>
              <w:br/>
              <w:t>WHERE d.spi3 &lt;= -1.5 AND c.name IN ['Maize', 'Sorghum'] AND f.ipc_phase &gt;= 3</w:t>
            </w:r>
            <w:r w:rsidRPr="00CB1FF3">
              <w:rPr>
                <w:rFonts w:ascii="Times New Roman" w:hAnsi="Times New Roman" w:cs="Times New Roman"/>
                <w:color w:val="2D3748"/>
                <w:sz w:val="20"/>
              </w:rPr>
              <w:br/>
              <w:t xml:space="preserve">RETURN w.name AS WoredaName, </w:t>
            </w:r>
            <w:r w:rsidRPr="00CB1FF3">
              <w:rPr>
                <w:rFonts w:ascii="Times New Roman" w:hAnsi="Times New Roman" w:cs="Times New Roman"/>
                <w:color w:val="2D3748"/>
                <w:sz w:val="20"/>
              </w:rPr>
              <w:br/>
              <w:t xml:space="preserve">       d.spi3 AS SPI3_DroughtSeverity, </w:t>
            </w:r>
            <w:r w:rsidRPr="00CB1FF3">
              <w:rPr>
                <w:rFonts w:ascii="Times New Roman" w:hAnsi="Times New Roman" w:cs="Times New Roman"/>
                <w:color w:val="2D3748"/>
                <w:sz w:val="20"/>
              </w:rPr>
              <w:br/>
              <w:t xml:space="preserve">       c.name AS VulnerableCrop, </w:t>
            </w:r>
            <w:r w:rsidRPr="00CB1FF3">
              <w:rPr>
                <w:rFonts w:ascii="Times New Roman" w:hAnsi="Times New Roman" w:cs="Times New Roman"/>
                <w:color w:val="2D3748"/>
                <w:sz w:val="20"/>
              </w:rPr>
              <w:br/>
              <w:t xml:space="preserve">       f.ipc_phase AS IPC_CrisisPhase,</w:t>
            </w:r>
            <w:r w:rsidRPr="00CB1FF3">
              <w:rPr>
                <w:rFonts w:ascii="Times New Roman" w:hAnsi="Times New Roman" w:cs="Times New Roman"/>
                <w:color w:val="2D3748"/>
                <w:sz w:val="20"/>
              </w:rPr>
              <w:br/>
              <w:t xml:space="preserve">       p.total_count AS ExposedPopulation,</w:t>
            </w:r>
            <w:r w:rsidRPr="00CB1FF3">
              <w:rPr>
                <w:rFonts w:ascii="Times New Roman" w:hAnsi="Times New Roman" w:cs="Times New Roman"/>
                <w:color w:val="2D3748"/>
                <w:sz w:val="20"/>
              </w:rPr>
              <w:br/>
              <w:t xml:space="preserve">       [(w)-[:RECEIVES_ALERT]-&gt;(a:EarlyWarningAlert) | a.action_package] AS PrescriptiveAdvisories</w:t>
            </w:r>
            <w:r w:rsidRPr="00CB1FF3">
              <w:rPr>
                <w:rFonts w:ascii="Times New Roman" w:hAnsi="Times New Roman" w:cs="Times New Roman"/>
                <w:color w:val="2D3748"/>
                <w:sz w:val="20"/>
              </w:rPr>
              <w:br/>
              <w:t>ORDER BY d.spi3 ASC, f.ipc_phase DESC;</w:t>
            </w:r>
          </w:p>
        </w:tc>
      </w:tr>
    </w:tbl>
    <w:p w14:paraId="57387011" w14:textId="77777777" w:rsidR="000D51DB" w:rsidRPr="00CB1FF3" w:rsidRDefault="000D51DB" w:rsidP="00CB1FF3">
      <w:pPr>
        <w:spacing w:after="120"/>
        <w:jc w:val="both"/>
        <w:rPr>
          <w:rFonts w:ascii="Times New Roman" w:hAnsi="Times New Roman" w:cs="Times New Roman"/>
        </w:rPr>
      </w:pPr>
    </w:p>
    <w:p w14:paraId="2B302EAB" w14:textId="77777777" w:rsidR="000D51DB" w:rsidRPr="00CB1FF3" w:rsidRDefault="00CB1FF3" w:rsidP="00CB1FF3">
      <w:pPr>
        <w:keepNext/>
        <w:spacing w:before="240" w:after="80"/>
        <w:jc w:val="both"/>
        <w:rPr>
          <w:rFonts w:ascii="Times New Roman" w:hAnsi="Times New Roman" w:cs="Times New Roman"/>
        </w:rPr>
      </w:pPr>
      <w:r w:rsidRPr="00CB1FF3">
        <w:rPr>
          <w:rFonts w:ascii="Times New Roman" w:hAnsi="Times New Roman" w:cs="Times New Roman"/>
          <w:b/>
          <w:color w:val="2B6CB0"/>
          <w:sz w:val="24"/>
        </w:rPr>
        <w:t>Appendix E: Multi-Tier API Endpoint Specification and UI Architecture</w:t>
      </w:r>
    </w:p>
    <w:p w14:paraId="727B1E93"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The cloud-native backend microservice exposes a fully typed RESTful OpenAPI 3.1 specification under /api/v1. Key endpoints governing early warning and advisory evaluation include:</w:t>
      </w:r>
    </w:p>
    <w:tbl>
      <w:tblPr>
        <w:tblW w:w="0" w:type="auto"/>
        <w:jc w:val="center"/>
        <w:tblBorders>
          <w:top w:val="single" w:sz="6" w:space="0" w:color="CBD5E0"/>
          <w:bottom w:val="single" w:sz="6" w:space="0" w:color="CBD5E0"/>
          <w:insideH w:val="single" w:sz="4" w:space="0" w:color="CBD5E0"/>
        </w:tblBorders>
        <w:tblLook w:val="04A0" w:firstRow="1" w:lastRow="0" w:firstColumn="1" w:lastColumn="0" w:noHBand="0" w:noVBand="1"/>
      </w:tblPr>
      <w:tblGrid>
        <w:gridCol w:w="1584"/>
        <w:gridCol w:w="2880"/>
        <w:gridCol w:w="1872"/>
        <w:gridCol w:w="3024"/>
      </w:tblGrid>
      <w:tr w:rsidR="000D51DB" w:rsidRPr="00CB1FF3" w14:paraId="38066BC0" w14:textId="77777777">
        <w:trPr>
          <w:jc w:val="center"/>
        </w:trPr>
        <w:tc>
          <w:tcPr>
            <w:tcW w:w="1584" w:type="dxa"/>
            <w:shd w:val="clear" w:color="auto" w:fill="1A365D"/>
            <w:tcMar>
              <w:top w:w="120" w:type="dxa"/>
              <w:left w:w="150" w:type="dxa"/>
              <w:bottom w:w="120" w:type="dxa"/>
              <w:right w:w="150" w:type="dxa"/>
            </w:tcMar>
          </w:tcPr>
          <w:p w14:paraId="7850E00A"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b/>
                <w:color w:val="FFFFFF"/>
                <w:sz w:val="19"/>
              </w:rPr>
              <w:lastRenderedPageBreak/>
              <w:t>HTTP Method</w:t>
            </w:r>
          </w:p>
        </w:tc>
        <w:tc>
          <w:tcPr>
            <w:tcW w:w="2880" w:type="dxa"/>
            <w:shd w:val="clear" w:color="auto" w:fill="1A365D"/>
            <w:tcMar>
              <w:top w:w="120" w:type="dxa"/>
              <w:left w:w="150" w:type="dxa"/>
              <w:bottom w:w="120" w:type="dxa"/>
              <w:right w:w="150" w:type="dxa"/>
            </w:tcMar>
          </w:tcPr>
          <w:p w14:paraId="51AFDC8A"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b/>
                <w:color w:val="FFFFFF"/>
                <w:sz w:val="19"/>
              </w:rPr>
              <w:t>API Endpoint Path</w:t>
            </w:r>
          </w:p>
        </w:tc>
        <w:tc>
          <w:tcPr>
            <w:tcW w:w="1872" w:type="dxa"/>
            <w:shd w:val="clear" w:color="auto" w:fill="1A365D"/>
            <w:tcMar>
              <w:top w:w="120" w:type="dxa"/>
              <w:left w:w="150" w:type="dxa"/>
              <w:bottom w:w="120" w:type="dxa"/>
              <w:right w:w="150" w:type="dxa"/>
            </w:tcMar>
          </w:tcPr>
          <w:p w14:paraId="62AC6C2D"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b/>
                <w:color w:val="FFFFFF"/>
                <w:sz w:val="19"/>
              </w:rPr>
              <w:t>Access Role</w:t>
            </w:r>
          </w:p>
        </w:tc>
        <w:tc>
          <w:tcPr>
            <w:tcW w:w="3024" w:type="dxa"/>
            <w:shd w:val="clear" w:color="auto" w:fill="1A365D"/>
            <w:tcMar>
              <w:top w:w="120" w:type="dxa"/>
              <w:left w:w="150" w:type="dxa"/>
              <w:bottom w:w="120" w:type="dxa"/>
              <w:right w:w="150" w:type="dxa"/>
            </w:tcMar>
          </w:tcPr>
          <w:p w14:paraId="0BBEF695"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b/>
                <w:color w:val="FFFFFF"/>
                <w:sz w:val="19"/>
              </w:rPr>
              <w:t>Operational Functional Purpose</w:t>
            </w:r>
          </w:p>
        </w:tc>
      </w:tr>
      <w:tr w:rsidR="000D51DB" w:rsidRPr="00CB1FF3" w14:paraId="090147E8" w14:textId="77777777">
        <w:trPr>
          <w:jc w:val="center"/>
        </w:trPr>
        <w:tc>
          <w:tcPr>
            <w:tcW w:w="1584" w:type="dxa"/>
            <w:shd w:val="clear" w:color="auto" w:fill="FFFFFF"/>
            <w:tcMar>
              <w:top w:w="100" w:type="dxa"/>
              <w:left w:w="150" w:type="dxa"/>
              <w:bottom w:w="100" w:type="dxa"/>
              <w:right w:w="150" w:type="dxa"/>
            </w:tcMar>
          </w:tcPr>
          <w:p w14:paraId="69607260"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GET</w:t>
            </w:r>
          </w:p>
        </w:tc>
        <w:tc>
          <w:tcPr>
            <w:tcW w:w="2880" w:type="dxa"/>
            <w:shd w:val="clear" w:color="auto" w:fill="FFFFFF"/>
            <w:tcMar>
              <w:top w:w="100" w:type="dxa"/>
              <w:left w:w="150" w:type="dxa"/>
              <w:bottom w:w="100" w:type="dxa"/>
              <w:right w:w="150" w:type="dxa"/>
            </w:tcMar>
          </w:tcPr>
          <w:p w14:paraId="3410AD9C"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/api/v1/health/ready</w:t>
            </w:r>
          </w:p>
        </w:tc>
        <w:tc>
          <w:tcPr>
            <w:tcW w:w="1872" w:type="dxa"/>
            <w:shd w:val="clear" w:color="auto" w:fill="FFFFFF"/>
            <w:tcMar>
              <w:top w:w="100" w:type="dxa"/>
              <w:left w:w="150" w:type="dxa"/>
              <w:bottom w:w="100" w:type="dxa"/>
              <w:right w:w="150" w:type="dxa"/>
            </w:tcMar>
          </w:tcPr>
          <w:p w14:paraId="7EE10040"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Public</w:t>
            </w:r>
          </w:p>
        </w:tc>
        <w:tc>
          <w:tcPr>
            <w:tcW w:w="3024" w:type="dxa"/>
            <w:shd w:val="clear" w:color="auto" w:fill="FFFFFF"/>
            <w:tcMar>
              <w:top w:w="100" w:type="dxa"/>
              <w:left w:w="150" w:type="dxa"/>
              <w:bottom w:w="100" w:type="dxa"/>
              <w:right w:w="150" w:type="dxa"/>
            </w:tcMar>
          </w:tcPr>
          <w:p w14:paraId="18D39B80"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Service readiness probe; returns 200 only when model weights and database pool are loaded.</w:t>
            </w:r>
          </w:p>
        </w:tc>
      </w:tr>
      <w:tr w:rsidR="000D51DB" w:rsidRPr="00CB1FF3" w14:paraId="6195DDE5" w14:textId="77777777">
        <w:trPr>
          <w:jc w:val="center"/>
        </w:trPr>
        <w:tc>
          <w:tcPr>
            <w:tcW w:w="1584" w:type="dxa"/>
            <w:shd w:val="clear" w:color="auto" w:fill="F7FAFC"/>
            <w:tcMar>
              <w:top w:w="100" w:type="dxa"/>
              <w:left w:w="150" w:type="dxa"/>
              <w:bottom w:w="100" w:type="dxa"/>
              <w:right w:w="150" w:type="dxa"/>
            </w:tcMar>
          </w:tcPr>
          <w:p w14:paraId="113050EC"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POST</w:t>
            </w:r>
          </w:p>
        </w:tc>
        <w:tc>
          <w:tcPr>
            <w:tcW w:w="2880" w:type="dxa"/>
            <w:shd w:val="clear" w:color="auto" w:fill="F7FAFC"/>
            <w:tcMar>
              <w:top w:w="100" w:type="dxa"/>
              <w:left w:w="150" w:type="dxa"/>
              <w:bottom w:w="100" w:type="dxa"/>
              <w:right w:w="150" w:type="dxa"/>
            </w:tcMar>
          </w:tcPr>
          <w:p w14:paraId="059D25B6"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/api/v1/auth/login</w:t>
            </w:r>
          </w:p>
        </w:tc>
        <w:tc>
          <w:tcPr>
            <w:tcW w:w="1872" w:type="dxa"/>
            <w:shd w:val="clear" w:color="auto" w:fill="F7FAFC"/>
            <w:tcMar>
              <w:top w:w="100" w:type="dxa"/>
              <w:left w:w="150" w:type="dxa"/>
              <w:bottom w:w="100" w:type="dxa"/>
              <w:right w:w="150" w:type="dxa"/>
            </w:tcMar>
          </w:tcPr>
          <w:p w14:paraId="78BC5E87"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Public</w:t>
            </w:r>
          </w:p>
        </w:tc>
        <w:tc>
          <w:tcPr>
            <w:tcW w:w="3024" w:type="dxa"/>
            <w:shd w:val="clear" w:color="auto" w:fill="F7FAFC"/>
            <w:tcMar>
              <w:top w:w="100" w:type="dxa"/>
              <w:left w:w="150" w:type="dxa"/>
              <w:bottom w:w="100" w:type="dxa"/>
              <w:right w:w="150" w:type="dxa"/>
            </w:tcMar>
          </w:tcPr>
          <w:p w14:paraId="6D834FB6"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Argon2id authentication; returns 15-min JWT access token &amp; sets rotating refresh token cookie.</w:t>
            </w:r>
          </w:p>
        </w:tc>
      </w:tr>
      <w:tr w:rsidR="000D51DB" w:rsidRPr="00CB1FF3" w14:paraId="24752DAF" w14:textId="77777777">
        <w:trPr>
          <w:jc w:val="center"/>
        </w:trPr>
        <w:tc>
          <w:tcPr>
            <w:tcW w:w="1584" w:type="dxa"/>
            <w:shd w:val="clear" w:color="auto" w:fill="FFFFFF"/>
            <w:tcMar>
              <w:top w:w="100" w:type="dxa"/>
              <w:left w:w="150" w:type="dxa"/>
              <w:bottom w:w="100" w:type="dxa"/>
              <w:right w:w="150" w:type="dxa"/>
            </w:tcMar>
          </w:tcPr>
          <w:p w14:paraId="4D6E7FDE"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GET</w:t>
            </w:r>
          </w:p>
        </w:tc>
        <w:tc>
          <w:tcPr>
            <w:tcW w:w="2880" w:type="dxa"/>
            <w:shd w:val="clear" w:color="auto" w:fill="FFFFFF"/>
            <w:tcMar>
              <w:top w:w="100" w:type="dxa"/>
              <w:left w:w="150" w:type="dxa"/>
              <w:bottom w:w="100" w:type="dxa"/>
              <w:right w:w="150" w:type="dxa"/>
            </w:tcMar>
          </w:tcPr>
          <w:p w14:paraId="232C5426"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/api/v1/drought/map</w:t>
            </w:r>
          </w:p>
        </w:tc>
        <w:tc>
          <w:tcPr>
            <w:tcW w:w="1872" w:type="dxa"/>
            <w:shd w:val="clear" w:color="auto" w:fill="FFFFFF"/>
            <w:tcMar>
              <w:top w:w="100" w:type="dxa"/>
              <w:left w:w="150" w:type="dxa"/>
              <w:bottom w:w="100" w:type="dxa"/>
              <w:right w:w="150" w:type="dxa"/>
            </w:tcMar>
          </w:tcPr>
          <w:p w14:paraId="76A4E9E0"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Signed-in</w:t>
            </w:r>
          </w:p>
        </w:tc>
        <w:tc>
          <w:tcPr>
            <w:tcW w:w="3024" w:type="dxa"/>
            <w:shd w:val="clear" w:color="auto" w:fill="FFFFFF"/>
            <w:tcMar>
              <w:top w:w="100" w:type="dxa"/>
              <w:left w:w="150" w:type="dxa"/>
              <w:bottom w:w="100" w:type="dxa"/>
              <w:right w:w="150" w:type="dxa"/>
            </w:tcMar>
          </w:tcPr>
          <w:p w14:paraId="2FAD3FCB"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Serves woreda-level drought hazard probability map P(SPI-3&lt;=-1) for the requested lead.</w:t>
            </w:r>
          </w:p>
        </w:tc>
      </w:tr>
      <w:tr w:rsidR="000D51DB" w:rsidRPr="00CB1FF3" w14:paraId="0EBE7597" w14:textId="77777777">
        <w:trPr>
          <w:jc w:val="center"/>
        </w:trPr>
        <w:tc>
          <w:tcPr>
            <w:tcW w:w="1584" w:type="dxa"/>
            <w:shd w:val="clear" w:color="auto" w:fill="F7FAFC"/>
            <w:tcMar>
              <w:top w:w="100" w:type="dxa"/>
              <w:left w:w="150" w:type="dxa"/>
              <w:bottom w:w="100" w:type="dxa"/>
              <w:right w:w="150" w:type="dxa"/>
            </w:tcMar>
          </w:tcPr>
          <w:p w14:paraId="3E664B5F"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GET</w:t>
            </w:r>
          </w:p>
        </w:tc>
        <w:tc>
          <w:tcPr>
            <w:tcW w:w="2880" w:type="dxa"/>
            <w:shd w:val="clear" w:color="auto" w:fill="F7FAFC"/>
            <w:tcMar>
              <w:top w:w="100" w:type="dxa"/>
              <w:left w:w="150" w:type="dxa"/>
              <w:bottom w:w="100" w:type="dxa"/>
              <w:right w:w="150" w:type="dxa"/>
            </w:tcMar>
          </w:tcPr>
          <w:p w14:paraId="75664936"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/api/v1/drought/cell</w:t>
            </w:r>
          </w:p>
        </w:tc>
        <w:tc>
          <w:tcPr>
            <w:tcW w:w="1872" w:type="dxa"/>
            <w:shd w:val="clear" w:color="auto" w:fill="F7FAFC"/>
            <w:tcMar>
              <w:top w:w="100" w:type="dxa"/>
              <w:left w:w="150" w:type="dxa"/>
              <w:bottom w:w="100" w:type="dxa"/>
              <w:right w:w="150" w:type="dxa"/>
            </w:tcMar>
          </w:tcPr>
          <w:p w14:paraId="70138451"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Signed-in</w:t>
            </w:r>
          </w:p>
        </w:tc>
        <w:tc>
          <w:tcPr>
            <w:tcW w:w="3024" w:type="dxa"/>
            <w:shd w:val="clear" w:color="auto" w:fill="F7FAFC"/>
            <w:tcMar>
              <w:top w:w="100" w:type="dxa"/>
              <w:left w:w="150" w:type="dxa"/>
              <w:bottom w:w="100" w:type="dxa"/>
              <w:right w:w="150" w:type="dxa"/>
            </w:tcMar>
          </w:tcPr>
          <w:p w14:paraId="37C80040"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Retrieves high-resolution 8×8 grid cell climatological history and forecast by row/col or GPS.</w:t>
            </w:r>
          </w:p>
        </w:tc>
      </w:tr>
      <w:tr w:rsidR="000D51DB" w:rsidRPr="00CB1FF3" w14:paraId="0B5139C3" w14:textId="77777777">
        <w:trPr>
          <w:jc w:val="center"/>
        </w:trPr>
        <w:tc>
          <w:tcPr>
            <w:tcW w:w="1584" w:type="dxa"/>
            <w:shd w:val="clear" w:color="auto" w:fill="FFFFFF"/>
            <w:tcMar>
              <w:top w:w="100" w:type="dxa"/>
              <w:left w:w="150" w:type="dxa"/>
              <w:bottom w:w="100" w:type="dxa"/>
              <w:right w:w="150" w:type="dxa"/>
            </w:tcMar>
          </w:tcPr>
          <w:p w14:paraId="3BB1C945"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POST</w:t>
            </w:r>
          </w:p>
        </w:tc>
        <w:tc>
          <w:tcPr>
            <w:tcW w:w="2880" w:type="dxa"/>
            <w:shd w:val="clear" w:color="auto" w:fill="FFFFFF"/>
            <w:tcMar>
              <w:top w:w="100" w:type="dxa"/>
              <w:left w:w="150" w:type="dxa"/>
              <w:bottom w:w="100" w:type="dxa"/>
              <w:right w:w="150" w:type="dxa"/>
            </w:tcMar>
          </w:tcPr>
          <w:p w14:paraId="2E832460"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/api/v1/advisories/evaluate</w:t>
            </w:r>
          </w:p>
        </w:tc>
        <w:tc>
          <w:tcPr>
            <w:tcW w:w="1872" w:type="dxa"/>
            <w:shd w:val="clear" w:color="auto" w:fill="FFFFFF"/>
            <w:tcMar>
              <w:top w:w="100" w:type="dxa"/>
              <w:left w:w="150" w:type="dxa"/>
              <w:bottom w:w="100" w:type="dxa"/>
              <w:right w:w="150" w:type="dxa"/>
            </w:tcMar>
          </w:tcPr>
          <w:p w14:paraId="78173536"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Signed-in</w:t>
            </w:r>
          </w:p>
        </w:tc>
        <w:tc>
          <w:tcPr>
            <w:tcW w:w="3024" w:type="dxa"/>
            <w:shd w:val="clear" w:color="auto" w:fill="FFFFFF"/>
            <w:tcMar>
              <w:top w:w="100" w:type="dxa"/>
              <w:left w:w="150" w:type="dxa"/>
              <w:bottom w:w="100" w:type="dxa"/>
              <w:right w:w="150" w:type="dxa"/>
            </w:tcMar>
          </w:tcPr>
          <w:p w14:paraId="2D615D9E"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Evaluates plot crop sensitivity (s), adjusted risk P_adj, and triggers IEK consensus check.</w:t>
            </w:r>
          </w:p>
        </w:tc>
      </w:tr>
      <w:tr w:rsidR="000D51DB" w:rsidRPr="00CB1FF3" w14:paraId="3D2FA18C" w14:textId="77777777">
        <w:trPr>
          <w:jc w:val="center"/>
        </w:trPr>
        <w:tc>
          <w:tcPr>
            <w:tcW w:w="1584" w:type="dxa"/>
            <w:shd w:val="clear" w:color="auto" w:fill="F7FAFC"/>
            <w:tcMar>
              <w:top w:w="100" w:type="dxa"/>
              <w:left w:w="150" w:type="dxa"/>
              <w:bottom w:w="100" w:type="dxa"/>
              <w:right w:w="150" w:type="dxa"/>
            </w:tcMar>
          </w:tcPr>
          <w:p w14:paraId="4621ACA1"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GET</w:t>
            </w:r>
          </w:p>
        </w:tc>
        <w:tc>
          <w:tcPr>
            <w:tcW w:w="2880" w:type="dxa"/>
            <w:shd w:val="clear" w:color="auto" w:fill="F7FAFC"/>
            <w:tcMar>
              <w:top w:w="100" w:type="dxa"/>
              <w:left w:w="150" w:type="dxa"/>
              <w:bottom w:w="100" w:type="dxa"/>
              <w:right w:w="150" w:type="dxa"/>
            </w:tcMar>
          </w:tcPr>
          <w:p w14:paraId="14E87E93"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/api/v1/food-security/forecast</w:t>
            </w:r>
          </w:p>
        </w:tc>
        <w:tc>
          <w:tcPr>
            <w:tcW w:w="1872" w:type="dxa"/>
            <w:shd w:val="clear" w:color="auto" w:fill="F7FAFC"/>
            <w:tcMar>
              <w:top w:w="100" w:type="dxa"/>
              <w:left w:w="150" w:type="dxa"/>
              <w:bottom w:w="100" w:type="dxa"/>
              <w:right w:w="150" w:type="dxa"/>
            </w:tcMar>
          </w:tcPr>
          <w:p w14:paraId="364C77F6"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Signed-in</w:t>
            </w:r>
          </w:p>
        </w:tc>
        <w:tc>
          <w:tcPr>
            <w:tcW w:w="3024" w:type="dxa"/>
            <w:shd w:val="clear" w:color="auto" w:fill="F7FAFC"/>
            <w:tcMar>
              <w:top w:w="100" w:type="dxa"/>
              <w:left w:w="150" w:type="dxa"/>
              <w:bottom w:w="100" w:type="dxa"/>
              <w:right w:w="150" w:type="dxa"/>
            </w:tcMar>
          </w:tcPr>
          <w:p w14:paraId="2EA2F8CD"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Emits FEWS NET IPC phase probability distribution across target woredas.</w:t>
            </w:r>
          </w:p>
        </w:tc>
      </w:tr>
      <w:tr w:rsidR="000D51DB" w:rsidRPr="00CB1FF3" w14:paraId="7F32CD03" w14:textId="77777777">
        <w:trPr>
          <w:jc w:val="center"/>
        </w:trPr>
        <w:tc>
          <w:tcPr>
            <w:tcW w:w="1584" w:type="dxa"/>
            <w:shd w:val="clear" w:color="auto" w:fill="FFFFFF"/>
            <w:tcMar>
              <w:top w:w="100" w:type="dxa"/>
              <w:left w:w="150" w:type="dxa"/>
              <w:bottom w:w="100" w:type="dxa"/>
              <w:right w:w="150" w:type="dxa"/>
            </w:tcMar>
          </w:tcPr>
          <w:p w14:paraId="67553FDD"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GET</w:t>
            </w:r>
          </w:p>
        </w:tc>
        <w:tc>
          <w:tcPr>
            <w:tcW w:w="2880" w:type="dxa"/>
            <w:shd w:val="clear" w:color="auto" w:fill="FFFFFF"/>
            <w:tcMar>
              <w:top w:w="100" w:type="dxa"/>
              <w:left w:w="150" w:type="dxa"/>
              <w:bottom w:w="100" w:type="dxa"/>
              <w:right w:w="150" w:type="dxa"/>
            </w:tcMar>
          </w:tcPr>
          <w:p w14:paraId="4C7FF07A"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/api/v1/enso/outlook</w:t>
            </w:r>
          </w:p>
        </w:tc>
        <w:tc>
          <w:tcPr>
            <w:tcW w:w="1872" w:type="dxa"/>
            <w:shd w:val="clear" w:color="auto" w:fill="FFFFFF"/>
            <w:tcMar>
              <w:top w:w="100" w:type="dxa"/>
              <w:left w:w="150" w:type="dxa"/>
              <w:bottom w:w="100" w:type="dxa"/>
              <w:right w:w="150" w:type="dxa"/>
            </w:tcMar>
          </w:tcPr>
          <w:p w14:paraId="63396770"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Signed-in</w:t>
            </w:r>
          </w:p>
        </w:tc>
        <w:tc>
          <w:tcPr>
            <w:tcW w:w="3024" w:type="dxa"/>
            <w:shd w:val="clear" w:color="auto" w:fill="FFFFFF"/>
            <w:tcMar>
              <w:top w:w="100" w:type="dxa"/>
              <w:left w:w="150" w:type="dxa"/>
              <w:bottom w:w="100" w:type="dxa"/>
              <w:right w:w="150" w:type="dxa"/>
            </w:tcMar>
          </w:tcPr>
          <w:p w14:paraId="2C421BD7"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Retrieves Niño 3.4 SST history and multi-lead Conv1D-LSTM forecasts with skill metrics.</w:t>
            </w:r>
          </w:p>
        </w:tc>
      </w:tr>
      <w:tr w:rsidR="000D51DB" w:rsidRPr="00CB1FF3" w14:paraId="18E267EF" w14:textId="77777777">
        <w:trPr>
          <w:jc w:val="center"/>
        </w:trPr>
        <w:tc>
          <w:tcPr>
            <w:tcW w:w="1584" w:type="dxa"/>
            <w:shd w:val="clear" w:color="auto" w:fill="F7FAFC"/>
            <w:tcMar>
              <w:top w:w="100" w:type="dxa"/>
              <w:left w:w="150" w:type="dxa"/>
              <w:bottom w:w="100" w:type="dxa"/>
              <w:right w:w="150" w:type="dxa"/>
            </w:tcMar>
          </w:tcPr>
          <w:p w14:paraId="5AEFD7FC"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GET</w:t>
            </w:r>
          </w:p>
        </w:tc>
        <w:tc>
          <w:tcPr>
            <w:tcW w:w="2880" w:type="dxa"/>
            <w:shd w:val="clear" w:color="auto" w:fill="F7FAFC"/>
            <w:tcMar>
              <w:top w:w="100" w:type="dxa"/>
              <w:left w:w="150" w:type="dxa"/>
              <w:bottom w:w="100" w:type="dxa"/>
              <w:right w:w="150" w:type="dxa"/>
            </w:tcMar>
          </w:tcPr>
          <w:p w14:paraId="3E3DCDF7"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/api/v1/xai/attributions</w:t>
            </w:r>
          </w:p>
        </w:tc>
        <w:tc>
          <w:tcPr>
            <w:tcW w:w="1872" w:type="dxa"/>
            <w:shd w:val="clear" w:color="auto" w:fill="F7FAFC"/>
            <w:tcMar>
              <w:top w:w="100" w:type="dxa"/>
              <w:left w:w="150" w:type="dxa"/>
              <w:bottom w:w="100" w:type="dxa"/>
              <w:right w:w="150" w:type="dxa"/>
            </w:tcMar>
          </w:tcPr>
          <w:p w14:paraId="64135A64"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Signed-in</w:t>
            </w:r>
          </w:p>
        </w:tc>
        <w:tc>
          <w:tcPr>
            <w:tcW w:w="3024" w:type="dxa"/>
            <w:shd w:val="clear" w:color="auto" w:fill="F7FAFC"/>
            <w:tcMar>
              <w:top w:w="100" w:type="dxa"/>
              <w:left w:w="150" w:type="dxa"/>
              <w:bottom w:w="100" w:type="dxa"/>
              <w:right w:w="150" w:type="dxa"/>
            </w:tcMar>
          </w:tcPr>
          <w:p w14:paraId="557F8A1D"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Returns SHAP waterfall attributions and Grad-CAM image overlay coordinates for a woreda.</w:t>
            </w:r>
          </w:p>
        </w:tc>
      </w:tr>
      <w:tr w:rsidR="000D51DB" w:rsidRPr="00CB1FF3" w14:paraId="265CC876" w14:textId="77777777">
        <w:trPr>
          <w:jc w:val="center"/>
        </w:trPr>
        <w:tc>
          <w:tcPr>
            <w:tcW w:w="1584" w:type="dxa"/>
            <w:shd w:val="clear" w:color="auto" w:fill="FFFFFF"/>
            <w:tcMar>
              <w:top w:w="100" w:type="dxa"/>
              <w:left w:w="150" w:type="dxa"/>
              <w:bottom w:w="100" w:type="dxa"/>
              <w:right w:w="150" w:type="dxa"/>
            </w:tcMar>
          </w:tcPr>
          <w:p w14:paraId="40B9F6CB"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GET</w:t>
            </w:r>
          </w:p>
        </w:tc>
        <w:tc>
          <w:tcPr>
            <w:tcW w:w="2880" w:type="dxa"/>
            <w:shd w:val="clear" w:color="auto" w:fill="FFFFFF"/>
            <w:tcMar>
              <w:top w:w="100" w:type="dxa"/>
              <w:left w:w="150" w:type="dxa"/>
              <w:bottom w:w="100" w:type="dxa"/>
              <w:right w:w="150" w:type="dxa"/>
            </w:tcMar>
          </w:tcPr>
          <w:p w14:paraId="393DA1B6"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/api/v1/analytics/metabase</w:t>
            </w:r>
          </w:p>
        </w:tc>
        <w:tc>
          <w:tcPr>
            <w:tcW w:w="1872" w:type="dxa"/>
            <w:shd w:val="clear" w:color="auto" w:fill="FFFFFF"/>
            <w:tcMar>
              <w:top w:w="100" w:type="dxa"/>
              <w:left w:w="150" w:type="dxa"/>
              <w:bottom w:w="100" w:type="dxa"/>
              <w:right w:w="150" w:type="dxa"/>
            </w:tcMar>
          </w:tcPr>
          <w:p w14:paraId="0C71A667"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Ministers / Admins</w:t>
            </w:r>
          </w:p>
        </w:tc>
        <w:tc>
          <w:tcPr>
            <w:tcW w:w="3024" w:type="dxa"/>
            <w:shd w:val="clear" w:color="auto" w:fill="FFFFFF"/>
            <w:tcMar>
              <w:top w:w="100" w:type="dxa"/>
              <w:left w:w="150" w:type="dxa"/>
              <w:bottom w:w="100" w:type="dxa"/>
              <w:right w:w="150" w:type="dxa"/>
            </w:tcMar>
          </w:tcPr>
          <w:p w14:paraId="7F096461" w14:textId="77777777" w:rsidR="000D51DB" w:rsidRPr="00CB1FF3" w:rsidRDefault="00CB1FF3" w:rsidP="00CB1FF3">
            <w:pPr>
              <w:spacing w:after="0"/>
              <w:jc w:val="both"/>
              <w:rPr>
                <w:rFonts w:ascii="Times New Roman" w:hAnsi="Times New Roman" w:cs="Times New Roman"/>
              </w:rPr>
            </w:pPr>
            <w:r w:rsidRPr="00CB1FF3">
              <w:rPr>
                <w:rFonts w:ascii="Times New Roman" w:hAnsi="Times New Roman" w:cs="Times New Roman"/>
                <w:color w:val="2D3748"/>
                <w:sz w:val="19"/>
              </w:rPr>
              <w:t>Generates signed embed URL for zero-license Metabase Business Intelligence dashboards.</w:t>
            </w:r>
          </w:p>
        </w:tc>
      </w:tr>
    </w:tbl>
    <w:p w14:paraId="50832E02" w14:textId="77777777" w:rsidR="000D51DB" w:rsidRPr="00CB1FF3" w:rsidRDefault="00CB1FF3" w:rsidP="00CB1FF3">
      <w:pPr>
        <w:spacing w:after="100"/>
        <w:jc w:val="both"/>
        <w:rPr>
          <w:rFonts w:ascii="Times New Roman" w:hAnsi="Times New Roman" w:cs="Times New Roman"/>
        </w:rPr>
      </w:pPr>
      <w:r w:rsidRPr="00CB1FF3">
        <w:rPr>
          <w:rFonts w:ascii="Times New Roman" w:hAnsi="Times New Roman" w:cs="Times New Roman"/>
          <w:color w:val="2D3748"/>
          <w:sz w:val="21"/>
        </w:rPr>
        <w:t>The multi-platform UI architecture enforces role-scoped access control:</w:t>
      </w:r>
    </w:p>
    <w:p w14:paraId="5388E615"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Ministry Command Dashboard (/ministry): </w:t>
      </w:r>
      <w:r w:rsidRPr="00CB1FF3">
        <w:rPr>
          <w:rFonts w:ascii="Times New Roman" w:hAnsi="Times New Roman" w:cs="Times New Roman"/>
          <w:color w:val="2D3748"/>
          <w:sz w:val="21"/>
        </w:rPr>
        <w:t>Displays zone-wide comparative choropleth maps, aggregate exposure percentages (Moderate, High, Severe), woreda-by-woreda vulnerability matrices, crop mix distributions, and real-time advisory delivery read-receipt rates.</w:t>
      </w:r>
    </w:p>
    <w:p w14:paraId="45EF87EC"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Development Agent &amp; Farmer Action Portal (/farm): </w:t>
      </w:r>
      <w:r w:rsidRPr="00CB1FF3">
        <w:rPr>
          <w:rFonts w:ascii="Times New Roman" w:hAnsi="Times New Roman" w:cs="Times New Roman"/>
          <w:color w:val="2D3748"/>
          <w:sz w:val="21"/>
        </w:rPr>
        <w:t>Optimized for rural extension agents, displaying assigned kebele farm plots, plot-specific crop sensitivity risk badges, 4-tier prescriptive agronomic actions, and the IEK traditional indicator submission form.</w:t>
      </w:r>
    </w:p>
    <w:p w14:paraId="113E4FD7" w14:textId="77777777" w:rsidR="000D51DB" w:rsidRPr="00CB1FF3" w:rsidRDefault="00CB1FF3" w:rsidP="00CB1FF3">
      <w:pPr>
        <w:pStyle w:val="ListBullet"/>
        <w:spacing w:after="60"/>
        <w:jc w:val="both"/>
        <w:rPr>
          <w:rFonts w:ascii="Times New Roman" w:hAnsi="Times New Roman" w:cs="Times New Roman"/>
        </w:rPr>
      </w:pPr>
      <w:r w:rsidRPr="00CB1FF3">
        <w:rPr>
          <w:rFonts w:ascii="Times New Roman" w:hAnsi="Times New Roman" w:cs="Times New Roman"/>
          <w:b/>
          <w:color w:val="2D3748"/>
          <w:sz w:val="21"/>
        </w:rPr>
        <w:t xml:space="preserve">Forecast Horizon &amp; Validation Metrics Portal (/prediction/metrics): </w:t>
      </w:r>
      <w:r w:rsidRPr="00CB1FF3">
        <w:rPr>
          <w:rFonts w:ascii="Times New Roman" w:hAnsi="Times New Roman" w:cs="Times New Roman"/>
          <w:color w:val="2D3748"/>
          <w:sz w:val="21"/>
        </w:rPr>
        <w:t>Visualizes Brier Skill Scores, ROC-AUC curves, and comparative benchmark tables across forecast leads 1 to 12, enforcing transparency regarding the 'Honest Lead Horizon'.</w:t>
      </w:r>
    </w:p>
    <w:sectPr w:rsidR="000D51DB" w:rsidRPr="00CB1FF3"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1AD2F" w14:textId="77777777" w:rsidR="00F6708A" w:rsidRDefault="00F6708A">
      <w:pPr>
        <w:spacing w:after="0" w:line="240" w:lineRule="auto"/>
      </w:pPr>
      <w:r>
        <w:separator/>
      </w:r>
    </w:p>
  </w:endnote>
  <w:endnote w:type="continuationSeparator" w:id="0">
    <w:p w14:paraId="43A81479" w14:textId="77777777" w:rsidR="00F6708A" w:rsidRDefault="00F670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253BD" w14:textId="77777777" w:rsidR="000D51DB" w:rsidRPr="00CB1FF3" w:rsidRDefault="00CB1FF3">
    <w:pPr>
      <w:pStyle w:val="Footer"/>
      <w:jc w:val="center"/>
      <w:rPr>
        <w:rFonts w:ascii="Times New Roman" w:hAnsi="Times New Roman" w:cs="Times New Roman"/>
        <w:b/>
        <w:bCs/>
      </w:rPr>
    </w:pPr>
    <w:r w:rsidRPr="00CB1FF3">
      <w:rPr>
        <w:rFonts w:ascii="Times New Roman" w:hAnsi="Times New Roman" w:cs="Times New Roman"/>
        <w:b/>
        <w:bCs/>
        <w:color w:val="78909C"/>
        <w:sz w:val="18"/>
      </w:rPr>
      <w:t xml:space="preserve">Page </w:t>
    </w:r>
    <w:r w:rsidRPr="00CB1FF3">
      <w:rPr>
        <w:rFonts w:ascii="Times New Roman" w:hAnsi="Times New Roman" w:cs="Times New Roman"/>
        <w:b/>
        <w:bCs/>
        <w:color w:val="78909C"/>
        <w:sz w:val="18"/>
      </w:rPr>
      <w:fldChar w:fldCharType="begin"/>
    </w:r>
    <w:r w:rsidRPr="00CB1FF3">
      <w:rPr>
        <w:rFonts w:ascii="Times New Roman" w:hAnsi="Times New Roman" w:cs="Times New Roman"/>
        <w:b/>
        <w:bCs/>
        <w:color w:val="78909C"/>
        <w:sz w:val="18"/>
      </w:rPr>
      <w:instrText>PAGE</w:instrText>
    </w:r>
    <w:r w:rsidRPr="00CB1FF3">
      <w:rPr>
        <w:rFonts w:ascii="Times New Roman" w:hAnsi="Times New Roman" w:cs="Times New Roman"/>
        <w:b/>
        <w:bCs/>
        <w:color w:val="78909C"/>
        <w:sz w:val="18"/>
      </w:rPr>
      <w:fldChar w:fldCharType="separate"/>
    </w:r>
    <w:r w:rsidRPr="00CB1FF3">
      <w:rPr>
        <w:rFonts w:ascii="Times New Roman" w:hAnsi="Times New Roman" w:cs="Times New Roman"/>
        <w:b/>
        <w:bCs/>
        <w:noProof/>
        <w:color w:val="78909C"/>
        <w:sz w:val="18"/>
      </w:rPr>
      <w:t>1</w:t>
    </w:r>
    <w:r w:rsidRPr="00CB1FF3">
      <w:rPr>
        <w:rFonts w:ascii="Times New Roman" w:hAnsi="Times New Roman" w:cs="Times New Roman"/>
        <w:b/>
        <w:bCs/>
        <w:color w:val="78909C"/>
        <w:sz w:val="18"/>
      </w:rPr>
      <w:fldChar w:fldCharType="end"/>
    </w:r>
    <w:r w:rsidRPr="00CB1FF3">
      <w:rPr>
        <w:rFonts w:ascii="Times New Roman" w:hAnsi="Times New Roman" w:cs="Times New Roman"/>
        <w:b/>
        <w:bCs/>
        <w:color w:val="78909C"/>
        <w:sz w:val="18"/>
      </w:rPr>
      <w:t xml:space="preserve"> | Department of Information Science, College of Computing and Informatics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393CA" w14:textId="77777777" w:rsidR="00F6708A" w:rsidRDefault="00F6708A">
      <w:pPr>
        <w:spacing w:after="0" w:line="240" w:lineRule="auto"/>
      </w:pPr>
      <w:r>
        <w:separator/>
      </w:r>
    </w:p>
  </w:footnote>
  <w:footnote w:type="continuationSeparator" w:id="0">
    <w:p w14:paraId="58182C85" w14:textId="77777777" w:rsidR="00F6708A" w:rsidRDefault="00F670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6AC38" w14:textId="77777777" w:rsidR="000D51DB" w:rsidRPr="00CB1FF3" w:rsidRDefault="00CB1FF3">
    <w:pPr>
      <w:pStyle w:val="Header"/>
      <w:jc w:val="right"/>
      <w:rPr>
        <w:rFonts w:ascii="Times New Roman" w:hAnsi="Times New Roman" w:cs="Times New Roman"/>
        <w:b/>
        <w:bCs/>
      </w:rPr>
    </w:pPr>
    <w:r w:rsidRPr="00CB1FF3">
      <w:rPr>
        <w:rFonts w:ascii="Times New Roman" w:hAnsi="Times New Roman" w:cs="Times New Roman"/>
        <w:b/>
        <w:bCs/>
        <w:color w:val="78909C"/>
        <w:sz w:val="17"/>
      </w:rPr>
      <w:t xml:space="preserve">MSc Thesis Concept Note | Bona Nasser Abdo | </w:t>
    </w:r>
    <w:proofErr w:type="spellStart"/>
    <w:r w:rsidRPr="00CB1FF3">
      <w:rPr>
        <w:rFonts w:ascii="Times New Roman" w:hAnsi="Times New Roman" w:cs="Times New Roman"/>
        <w:b/>
        <w:bCs/>
        <w:color w:val="78909C"/>
        <w:sz w:val="17"/>
      </w:rPr>
      <w:t>Haramaya</w:t>
    </w:r>
    <w:proofErr w:type="spellEnd"/>
    <w:r w:rsidRPr="00CB1FF3">
      <w:rPr>
        <w:rFonts w:ascii="Times New Roman" w:hAnsi="Times New Roman" w:cs="Times New Roman"/>
        <w:b/>
        <w:bCs/>
        <w:color w:val="78909C"/>
        <w:sz w:val="17"/>
      </w:rPr>
      <w:t xml:space="preserve">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A3401A7"/>
    <w:multiLevelType w:val="hybridMultilevel"/>
    <w:tmpl w:val="1BDE65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0038744">
    <w:abstractNumId w:val="8"/>
  </w:num>
  <w:num w:numId="2" w16cid:durableId="1333993386">
    <w:abstractNumId w:val="6"/>
  </w:num>
  <w:num w:numId="3" w16cid:durableId="1888056551">
    <w:abstractNumId w:val="5"/>
  </w:num>
  <w:num w:numId="4" w16cid:durableId="514271650">
    <w:abstractNumId w:val="4"/>
  </w:num>
  <w:num w:numId="5" w16cid:durableId="624045473">
    <w:abstractNumId w:val="7"/>
  </w:num>
  <w:num w:numId="6" w16cid:durableId="327758091">
    <w:abstractNumId w:val="3"/>
  </w:num>
  <w:num w:numId="7" w16cid:durableId="1027675652">
    <w:abstractNumId w:val="2"/>
  </w:num>
  <w:num w:numId="8" w16cid:durableId="570391272">
    <w:abstractNumId w:val="1"/>
  </w:num>
  <w:num w:numId="9" w16cid:durableId="1371875254">
    <w:abstractNumId w:val="0"/>
  </w:num>
  <w:num w:numId="10" w16cid:durableId="15773212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0FC"/>
    <w:rsid w:val="000D51DB"/>
    <w:rsid w:val="0015074B"/>
    <w:rsid w:val="00172EF4"/>
    <w:rsid w:val="0029639D"/>
    <w:rsid w:val="00326F90"/>
    <w:rsid w:val="007B2B10"/>
    <w:rsid w:val="00914C79"/>
    <w:rsid w:val="00A037B5"/>
    <w:rsid w:val="00AA1D8D"/>
    <w:rsid w:val="00B47730"/>
    <w:rsid w:val="00CB0664"/>
    <w:rsid w:val="00CB1FF3"/>
    <w:rsid w:val="00F411DE"/>
    <w:rsid w:val="00F670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EB1746"/>
  <w14:defaultImageDpi w14:val="300"/>
  <w15:docId w15:val="{2321B50F-9A16-47BD-8FB2-82C06F72E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Pages>
  <Words>14874</Words>
  <Characters>84783</Characters>
  <Application>Microsoft Office Word</Application>
  <DocSecurity>0</DocSecurity>
  <Lines>706</Lines>
  <Paragraphs>198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bona nasser</cp:lastModifiedBy>
  <cp:revision>4</cp:revision>
  <dcterms:created xsi:type="dcterms:W3CDTF">2013-12-23T23:15:00Z</dcterms:created>
  <dcterms:modified xsi:type="dcterms:W3CDTF">2026-10-23T18:53:00Z</dcterms:modified>
  <cp:category/>
</cp:coreProperties>
</file>