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365D"/>
          <w:sz w:val="20"/>
        </w:rPr>
        <w:t>HARAMAYA UNIVERSITY | COLLEGE OF COMPUTING AND INFORMATICS</w:t>
        <w:br/>
        <w:t>DEPARTMENT OF INFORMATION SCIENCE | POSTGRADUATE RESEARCH PROGRAM</w:t>
      </w:r>
    </w:p>
    <w:p>
      <w:pPr>
        <w:spacing w:before="80" w:after="120"/>
      </w:pPr>
      <w:r>
        <w:rPr>
          <w:rFonts w:ascii="Arial" w:hAnsi="Arial"/>
          <w:b/>
          <w:color w:val="2B6CB0"/>
          <w:sz w:val="24"/>
        </w:rPr>
        <w:t>SIX-MONTH MASTER EXECUTION ROADMAP: FROM PROPOSAL TO FINAL DEFENSE</w:t>
        <w:br/>
        <w:t>AI-Based Multimodal Deep Learning Early Warning System for Drought, Crop Advisory, and Food Insecurity Prediction in Eastern Ethiopia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A365D"/>
                <w:sz w:val="17"/>
              </w:rPr>
              <w:t xml:space="preserve">Graduate Researcher: </w:t>
            </w:r>
            <w:r>
              <w:rPr>
                <w:rFonts w:ascii="Calibri" w:hAnsi="Calibri"/>
                <w:color w:val="2D3748"/>
                <w:sz w:val="17"/>
              </w:rPr>
              <w:t>Bona Nasser Abdo (MSc Data Science Candidate)</w:t>
            </w:r>
          </w:p>
        </w:tc>
        <w:tc>
          <w:tcPr>
            <w:tcW w:type="dxa" w:w="49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A365D"/>
                <w:sz w:val="17"/>
              </w:rPr>
              <w:t xml:space="preserve">Principal Advisor: </w:t>
            </w:r>
            <w:r>
              <w:rPr>
                <w:rFonts w:ascii="Calibri" w:hAnsi="Calibri"/>
                <w:color w:val="2D3748"/>
                <w:sz w:val="17"/>
              </w:rPr>
              <w:t>Dr. Million Meshesha (Associate Professor)</w:t>
            </w:r>
          </w:p>
        </w:tc>
      </w:tr>
      <w:tr>
        <w:tc>
          <w:tcPr>
            <w:tcW w:type="dxa" w:w="49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A365D"/>
                <w:sz w:val="17"/>
              </w:rPr>
              <w:t xml:space="preserve">Total Time Horizon: </w:t>
            </w:r>
            <w:r>
              <w:rPr>
                <w:rFonts w:ascii="Calibri" w:hAnsi="Calibri"/>
                <w:color w:val="2D3748"/>
                <w:sz w:val="17"/>
              </w:rPr>
              <w:t>6 Calendar Months (24 Academic Weeks)</w:t>
            </w:r>
          </w:p>
        </w:tc>
        <w:tc>
          <w:tcPr>
            <w:tcW w:type="dxa" w:w="49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A365D"/>
                <w:sz w:val="17"/>
              </w:rPr>
              <w:t xml:space="preserve">Milestone Gates: </w:t>
            </w:r>
            <w:r>
              <w:rPr>
                <w:rFonts w:ascii="Calibri" w:hAnsi="Calibri"/>
                <w:color w:val="2D3748"/>
                <w:sz w:val="17"/>
              </w:rPr>
              <w:t>Gate 1: Proposal Defense (Month 2) | Gate 2: Final Thesis Defense (Month 6)</w:t>
            </w:r>
          </w:p>
        </w:tc>
      </w:tr>
    </w:tbl>
    <w:p>
      <w:pPr>
        <w:spacing w:before="0" w:after="120" w:line="276" w:lineRule="auto"/>
      </w:pPr>
      <w:r>
        <w:rPr>
          <w:rFonts w:ascii="Calibri" w:hAnsi="Calibri"/>
          <w:color w:val="2D3748"/>
          <w:sz w:val="20"/>
        </w:rPr>
        <w:t>This strategic roadmap outlines the rigorous, week-by-week operational execution plan to complete, defend, and submit the MSc Data Science thesis within a strict six-month timeline. The lifecycle is divided into two major operational phases: Phase I (Proposal Development, Defense &amp; Approval, Months 1–2) and Phase II (Empirical Implementation, Modeling, Writing &amp; Final Thesis Defense, Months 3–6).</w:t>
      </w:r>
    </w:p>
    <w:p>
      <w:pPr>
        <w:keepNext/>
        <w:spacing w:before="280" w:after="80"/>
      </w:pPr>
      <w:r>
        <w:rPr>
          <w:rFonts w:ascii="Arial" w:hAnsi="Arial"/>
          <w:b/>
          <w:color w:val="1A365D"/>
          <w:sz w:val="26"/>
        </w:rPr>
        <w:t>1. Master 24-Week Chronological Gantt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A365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Phase / Month</w:t>
            </w:r>
          </w:p>
        </w:tc>
        <w:tc>
          <w:tcPr>
            <w:tcW w:type="dxa" w:w="1296"/>
            <w:shd w:fill="1A365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Week Span</w:t>
            </w:r>
          </w:p>
        </w:tc>
        <w:tc>
          <w:tcPr>
            <w:tcW w:type="dxa" w:w="3888"/>
            <w:shd w:fill="1A365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Core Focus &amp; Milestones</w:t>
            </w:r>
          </w:p>
        </w:tc>
        <w:tc>
          <w:tcPr>
            <w:tcW w:type="dxa" w:w="2448"/>
            <w:shd w:fill="1A365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Primary Deliverable / Milestone Gate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Phase I: Month 1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Weeks 1–4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Literature review, 2-page problem brief for Dr. Million, theoretical framing, proposal drafting (Ch 1–3).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Complete Proposal Draft (Chapters 1, 2, 3)</w:t>
            </w:r>
          </w:p>
        </w:tc>
      </w:tr>
      <w:tr>
        <w:tc>
          <w:tcPr>
            <w:tcW w:type="dxa" w:w="1728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Phase I: Month 2</w:t>
            </w:r>
          </w:p>
        </w:tc>
        <w:tc>
          <w:tcPr>
            <w:tcW w:type="dxa" w:w="1296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Weeks 5–8</w:t>
            </w:r>
          </w:p>
        </w:tc>
        <w:tc>
          <w:tcPr>
            <w:tcW w:type="dxa" w:w="3888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Advisor review, DGC submission, proposal slide deck preparation, public defense, post-defense revisions.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GATE 1: Approved Thesis Proposal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Phase II: Month 3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Weeks 9–12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Automated ingestion (NOAA, CHIRPS, SMAP, MODIS, ERA5), WGS84 woreda alignment, Sc-PDSI climatology engine.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Harmonized Woreda × Month Data Cube</w:t>
            </w:r>
          </w:p>
        </w:tc>
      </w:tr>
      <w:tr>
        <w:tc>
          <w:tcPr>
            <w:tcW w:type="dxa" w:w="1728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Phase II: Month 4</w:t>
            </w:r>
          </w:p>
        </w:tc>
        <w:tc>
          <w:tcPr>
            <w:tcW w:type="dxa" w:w="1296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Weeks 13–16</w:t>
            </w:r>
          </w:p>
        </w:tc>
        <w:tc>
          <w:tcPr>
            <w:tcW w:type="dxa" w:w="3888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Conv1D-LSTM ENSO model, ResNet-50 patch CNN, LSTM sequence, FFT harmonic, Tabular MLP, Gated Cross-Attention.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Trained Model Checkpoints &amp; Baselines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Phase II: Month 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Weeks 17–20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Explainable AI (SHAP, Grad-CAM), Neo4j knowledge graph, 4-tier advisory matrix, out-of-sample testing (2024–26).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Empirical Results, XAI &amp; Decision App</w:t>
            </w:r>
          </w:p>
        </w:tc>
      </w:tr>
      <w:tr>
        <w:tc>
          <w:tcPr>
            <w:tcW w:type="dxa" w:w="1728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Phase II: Month 6</w:t>
            </w:r>
          </w:p>
        </w:tc>
        <w:tc>
          <w:tcPr>
            <w:tcW w:type="dxa" w:w="1296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Weeks 21–24</w:t>
            </w:r>
          </w:p>
        </w:tc>
        <w:tc>
          <w:tcPr>
            <w:tcW w:type="dxa" w:w="3888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Full manuscript compilation (Ch 1–5), pre-defense review with Dr. Million, final public defense, hardbound submission.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GATE 2: Final Defended MSc Thesis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A365D"/>
          <w:sz w:val="26"/>
        </w:rPr>
        <w:t>2. Detailed Step-by-Step Weekly Execution Plan</w:t>
      </w:r>
    </w:p>
    <w:p>
      <w:pPr>
        <w:keepNext/>
        <w:spacing w:before="200" w:after="60"/>
      </w:pPr>
      <w:r>
        <w:rPr>
          <w:rFonts w:ascii="Arial" w:hAnsi="Arial"/>
          <w:b/>
          <w:color w:val="2B6CB0"/>
          <w:sz w:val="22"/>
        </w:rPr>
        <w:t>PHASE I: PROPOSAL DEVELOPMENT, DEFENSE &amp; APPROVAL (MONTHS 1–2 / WEEKS 1–8)</w:t>
      </w:r>
    </w:p>
    <w:p>
      <w:pPr>
        <w:keepNext/>
        <w:spacing w:before="200" w:after="60"/>
      </w:pPr>
      <w:r>
        <w:rPr>
          <w:rFonts w:ascii="Arial" w:hAnsi="Arial"/>
          <w:b/>
          <w:color w:val="2B6CB0"/>
          <w:sz w:val="22"/>
        </w:rPr>
        <w:t>Month 1: Problem Formulation, Literature Syntheses &amp; Proposal Drafting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1 (Literature &amp; Theoretical Grounding): </w:t>
      </w:r>
      <w:r>
        <w:rPr>
          <w:rFonts w:ascii="Calibri" w:hAnsi="Calibri"/>
          <w:color w:val="2D3748"/>
          <w:sz w:val="20"/>
        </w:rPr>
        <w:t>Synthesize state-of-the-art literature (Busker et al., 2024; Baye et al., 2026; Abate et al., 2025; Megbar &amp; Tadesse, 2016). Formulate theoretical framework bridging physical climatology to acute food insecurity.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2 (Statement of Problem &amp; Advisor Alignment): </w:t>
      </w:r>
      <w:r>
        <w:rPr>
          <w:rFonts w:ascii="Calibri" w:hAnsi="Calibri"/>
          <w:color w:val="2D3748"/>
          <w:sz w:val="20"/>
        </w:rPr>
        <w:t>Finalize and submit the formal 2-page Statement of the Problem and Data Availability Verification to Dr. Million Meshesha. Incorporate advisor feedback into Chapter 1 (Background, Problem, 3 Research Questions, Objectives).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3 (Methodology &amp; Architecture Drafting): </w:t>
      </w:r>
      <w:r>
        <w:rPr>
          <w:rFonts w:ascii="Calibri" w:hAnsi="Calibri"/>
          <w:color w:val="2D3748"/>
          <w:sz w:val="20"/>
        </w:rPr>
        <w:t>Draft Chapter 2 (Literature Review &amp; Conceptual Framework) and draft Chapter 3 (Study Area profile of Eastern Hararghe, 5-tier architecture, mathematical Sc-PDSI formulations, and Super-Hybrid model design).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4 (Proposal Assembly &amp; Data Audit): </w:t>
      </w:r>
      <w:r>
        <w:rPr>
          <w:rFonts w:ascii="Calibri" w:hAnsi="Calibri"/>
          <w:color w:val="2D3748"/>
          <w:sz w:val="20"/>
        </w:rPr>
        <w:t>Verify zero-credential data ingestion scripts (`data/raw/manifests/dataset.json` with SHA-256 hashes). Assemble complete proposal manuscript (Chapters 1–3, References, Work Plan, Budget).</w:t>
      </w:r>
    </w:p>
    <w:p>
      <w:pPr>
        <w:keepNext/>
        <w:spacing w:before="200" w:after="60"/>
      </w:pPr>
      <w:r>
        <w:rPr>
          <w:rFonts w:ascii="Arial" w:hAnsi="Arial"/>
          <w:b/>
          <w:color w:val="2B6CB0"/>
          <w:sz w:val="22"/>
        </w:rPr>
        <w:t>Month 2: Advisor Iteration, Departmental Submission &amp; Proposal Defense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5 (Advisory Review &amp; One-on-One Critiques): </w:t>
      </w:r>
      <w:r>
        <w:rPr>
          <w:rFonts w:ascii="Calibri" w:hAnsi="Calibri"/>
          <w:color w:val="2D3748"/>
          <w:sz w:val="20"/>
        </w:rPr>
        <w:t>Formal review session with Dr. Million Meshesha. Refine methodology based on supervisory critique (e.g., target label definitions, class imbalance handling, validation boundaries).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6 (Formal DGC Submission &amp; Scheduling): </w:t>
      </w:r>
      <w:r>
        <w:rPr>
          <w:rFonts w:ascii="Calibri" w:hAnsi="Calibri"/>
          <w:color w:val="2D3748"/>
          <w:sz w:val="20"/>
        </w:rPr>
        <w:t>Incorporate all corrections. Submit formal proposal copies and approval sheets to the Department Graduate Committee (DGC) of Information Science.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7 (Proposal Defense Presentation - GATE 1): </w:t>
      </w:r>
      <w:r>
        <w:rPr>
          <w:rFonts w:ascii="Calibri" w:hAnsi="Calibri"/>
          <w:color w:val="2D3748"/>
          <w:sz w:val="20"/>
        </w:rPr>
        <w:t>Develop professional defense slide deck (20 slides: Problem, Research Gaps, 3 RQs, 5-Tier Architecture, Sc-PDSI Physics, Validation). Defend thesis proposal before departmental academic panel.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8 (Post-Defense Revisions &amp; Institutional Clearance): </w:t>
      </w:r>
      <w:r>
        <w:rPr>
          <w:rFonts w:ascii="Calibri" w:hAnsi="Calibri"/>
          <w:color w:val="2D3748"/>
          <w:sz w:val="20"/>
        </w:rPr>
        <w:t>Incorporate examiner comments. Secure official approval signatures from advisors and DGC Chairperson. Obtain formal institutional clearance.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2B6CB0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2B6CB0"/>
                <w:sz w:val="18"/>
              </w:rPr>
              <w:t>[GATE 1 MILESTONE: PROPOSAL DEFENSE &amp; APPROVAL]</w:t>
              <w:br/>
            </w:r>
            <w:r>
              <w:rPr>
                <w:rFonts w:ascii="Calibri" w:hAnsi="Calibri"/>
                <w:color w:val="2D3748"/>
                <w:sz w:val="19"/>
              </w:rPr>
              <w:t>MILESTONE GATE 1 ACHIEVED: Officially approved and defended MSc Thesis Proposal registered with the Postgraduate Program Directorate of Haramaya University. Proceed to empirical execution.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2B6CB0"/>
          <w:sz w:val="22"/>
        </w:rPr>
        <w:t>PHASE II: EMPIRICAL IMPLEMENTATION, EXPERIMENTAL RIGOR &amp; FINAL DEFENSE (MONTHS 3–6)</w:t>
      </w:r>
    </w:p>
    <w:p>
      <w:pPr>
        <w:keepNext/>
        <w:spacing w:before="200" w:after="60"/>
      </w:pPr>
      <w:r>
        <w:rPr>
          <w:rFonts w:ascii="Arial" w:hAnsi="Arial"/>
          <w:b/>
          <w:color w:val="2B6CB0"/>
          <w:sz w:val="22"/>
        </w:rPr>
        <w:t>Month 3: Automated Ingestion, Harmonization &amp; Physical Climatology Engine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9 (Automated Ingestion &amp; Manifest Security): </w:t>
      </w:r>
      <w:r>
        <w:rPr>
          <w:rFonts w:ascii="Calibri" w:hAnsi="Calibri"/>
          <w:color w:val="2D3748"/>
          <w:sz w:val="20"/>
        </w:rPr>
        <w:t>Deploy automated data connectors downloading verified archives: NOAA PSL (Niño 3.4), CHIRPS v3 (precip), NASA SMAP (soil moisture), MODIS MOD13Q1/MOD11A2, ERA5, SoilGrids, and FEWS NET IPC shapefiles. Verify SHA-256 manifests.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10 (Spatial Alignment &amp; Patch Extraction): </w:t>
      </w:r>
      <w:r>
        <w:rPr>
          <w:rFonts w:ascii="Calibri" w:hAnsi="Calibri"/>
          <w:color w:val="2D3748"/>
          <w:sz w:val="20"/>
        </w:rPr>
        <w:t>Reproject all spatial grids to WGS84 (EPSG:4326). Perform zonal statistics across Eastern Hararghe woreda polygons. Slice standardized 32×32 pixel multi-spectral visual patches centered over woreda centroids.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11 (Physical Climatology &amp; Water Balance Modeling): </w:t>
      </w:r>
      <w:r>
        <w:rPr>
          <w:rFonts w:ascii="Calibri" w:hAnsi="Calibri"/>
          <w:color w:val="2D3748"/>
          <w:sz w:val="20"/>
        </w:rPr>
        <w:t>Code and calibrate the physical two-layer Self-Calibrated Palmer Drought Severity Index (Sc-PDSI) with CAFEC precipitation and Z-index moisture departures. Compute SPI-1, SPI-3, SPI-6, and VCI rasters.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12 (Master Analytical Data Cube Assembly): </w:t>
      </w:r>
      <w:r>
        <w:rPr>
          <w:rFonts w:ascii="Calibri" w:hAnsi="Calibri"/>
          <w:color w:val="2D3748"/>
          <w:sz w:val="20"/>
        </w:rPr>
        <w:t>Assemble master analytical table structured as Woreda × Month. Generate 1-, 2-, 3-, and 6-month historical lags strictly using antecedent observations prior to timestamp t (zero future data leakage).</w:t>
      </w:r>
    </w:p>
    <w:p>
      <w:pPr>
        <w:keepNext/>
        <w:spacing w:before="200" w:after="60"/>
      </w:pPr>
      <w:r>
        <w:rPr>
          <w:rFonts w:ascii="Arial" w:hAnsi="Arial"/>
          <w:b/>
          <w:color w:val="2B6CB0"/>
          <w:sz w:val="22"/>
        </w:rPr>
        <w:t>Month 4: Deep Learning Development, Baseline Training &amp; Fusion Modeling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13 (Conv1D-LSTM ENSO Teleconnection Modeling): </w:t>
      </w:r>
      <w:r>
        <w:rPr>
          <w:rFonts w:ascii="Calibri" w:hAnsi="Calibri"/>
          <w:color w:val="2D3748"/>
          <w:sz w:val="20"/>
        </w:rPr>
        <w:t>Train and calibrate the Conv1D-LSTM oceanic teleconnection forecaster. Evaluate Niño 3.4 SST anomaly predictions across 1–12 leads against persistence and ridge baselines.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14 (Specialized Modality Encoder Construction): </w:t>
      </w:r>
      <w:r>
        <w:rPr>
          <w:rFonts w:ascii="Calibri" w:hAnsi="Calibri"/>
          <w:color w:val="2D3748"/>
          <w:sz w:val="20"/>
        </w:rPr>
        <w:t>Build and pre-train the four specialized encoders: (a) ResNet-50 spatial patch CNN, (b) 12-month recurrent LSTM temporal sequence branch, (c) Fast Fourier Transform (FFT) harmonic spectral branch, and (d) structured tabular MLP.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15 (Cross-Attention Fusion &amp; Multi-Task Training): </w:t>
      </w:r>
      <w:r>
        <w:rPr>
          <w:rFonts w:ascii="Calibri" w:hAnsi="Calibri"/>
          <w:color w:val="2D3748"/>
          <w:sz w:val="20"/>
        </w:rPr>
        <w:t>Implement the Multimodal Gated Cross-Attention Fusion Engine. Connect multi-task heads for Drought Hazard P(SPI-3&lt;=-1), Crop Risk P_adj, and FEWS NET / IPC Acute Food Insecurity (Phases 1–5). Apply Focal Loss (gamma=2.0) and class-weighted cross-entropy.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16 (Baseline Training &amp; Comparative Benchmarking): </w:t>
      </w:r>
      <w:r>
        <w:rPr>
          <w:rFonts w:ascii="Calibri" w:hAnsi="Calibri"/>
          <w:color w:val="2D3748"/>
          <w:sz w:val="20"/>
        </w:rPr>
        <w:t>Train classical machine learning baselines (Logistic Regression, Random Forest, XGBoost) and unimodal deep networks under identical chronological splits (2015–2021 train, 2022–2023 validation). Record comparative performance tables.</w:t>
      </w:r>
    </w:p>
    <w:p>
      <w:pPr>
        <w:keepNext/>
        <w:spacing w:before="200" w:after="60"/>
      </w:pPr>
      <w:r>
        <w:rPr>
          <w:rFonts w:ascii="Arial" w:hAnsi="Arial"/>
          <w:b/>
          <w:color w:val="2B6CB0"/>
          <w:sz w:val="22"/>
        </w:rPr>
        <w:t>Month 5: Explainable AI, Knowledge Graph, Decision Platform &amp; Evaluation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17 (Explainable AI - SHAP &amp; Grad-CAM Implementation): </w:t>
      </w:r>
      <w:r>
        <w:rPr>
          <w:rFonts w:ascii="Calibri" w:hAnsi="Calibri"/>
          <w:color w:val="2D3748"/>
          <w:sz w:val="20"/>
        </w:rPr>
        <w:t>Implement Explainable AI pipelines: compute SHAP feature attributions (global bar charts &amp; local waterfall plots) for tabular features; generate Grad-CAM heatmaps for satellite visual patches; compute temporal lag attributions.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18 (Neo4j Semantic Knowledge Graph Modeling): </w:t>
      </w:r>
      <w:r>
        <w:rPr>
          <w:rFonts w:ascii="Calibri" w:hAnsi="Calibri"/>
          <w:color w:val="2D3748"/>
          <w:sz w:val="20"/>
        </w:rPr>
        <w:t>Construct the Neo4j Semantic Knowledge Graph. Ingest woredas, crops, climate observations, hazard events, and IPC phases. Implement Cypher queries for multi-hazard cascading vulnerability reasoning.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19 (Prescriptive Advisory &amp; IEK Consensus Engine): </w:t>
      </w:r>
      <w:r>
        <w:rPr>
          <w:rFonts w:ascii="Calibri" w:hAnsi="Calibri"/>
          <w:color w:val="2D3748"/>
          <w:sz w:val="20"/>
        </w:rPr>
        <w:t>Calibrate biological crop sensitivity multipliers (s) for sorghum, maize, haricot bean, wheat, and tef. Map adjusted risks to the 4-tier prescriptive advisory matrix. Implement the Bi-Directional IEK Consensus Engine.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20 (Independent Hindcasting &amp; Honest Lead Validation): </w:t>
      </w:r>
      <w:r>
        <w:rPr>
          <w:rFonts w:ascii="Calibri" w:hAnsi="Calibri"/>
          <w:color w:val="2D3748"/>
          <w:sz w:val="20"/>
        </w:rPr>
        <w:t>Execute independent out-of-sample hindcasting on the strictly withheld 2024–2026 test window. Compute Brier Skill Scores (BSS), ROC-AUC, PR-AUC, Macro F1, and reliability calibration curves. Enforce the 'Honest Lead Horizon' principle.</w:t>
      </w:r>
    </w:p>
    <w:p>
      <w:pPr>
        <w:keepNext/>
        <w:spacing w:before="200" w:after="60"/>
      </w:pPr>
      <w:r>
        <w:rPr>
          <w:rFonts w:ascii="Arial" w:hAnsi="Arial"/>
          <w:b/>
          <w:color w:val="2B6CB0"/>
          <w:sz w:val="22"/>
        </w:rPr>
        <w:t>Month 6: Manuscript Compilation, Advisory Review &amp; Final Thesis Defense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21 (Complete Thesis Manuscript Drafting): </w:t>
      </w:r>
      <w:r>
        <w:rPr>
          <w:rFonts w:ascii="Calibri" w:hAnsi="Calibri"/>
          <w:color w:val="2D3748"/>
          <w:sz w:val="20"/>
        </w:rPr>
        <w:t>Compile complete Master Thesis manuscript: Chapter 1 (Introduction), Chapter 2 (Literature Review), Chapter 3 (Methodology), Chapter 4 (Results &amp; In-Depth Discussion with 17+ tables and figures), Chapter 5 (Conclusions &amp; Recommendations), and Appendices A–E.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22 (Advisory Review, Revisions &amp; Pre-Defense Clearance): </w:t>
      </w:r>
      <w:r>
        <w:rPr>
          <w:rFonts w:ascii="Calibri" w:hAnsi="Calibri"/>
          <w:color w:val="2D3748"/>
          <w:sz w:val="20"/>
        </w:rPr>
        <w:t>Comprehensive manuscript review with Dr. Million Meshesha. Conduct mock defense presentations. Revise all chapters based on detailed advisory critique.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23 (FINAL MSC THESIS DEFENSE - GATE 2): </w:t>
      </w:r>
      <w:r>
        <w:rPr>
          <w:rFonts w:ascii="Calibri" w:hAnsi="Calibri"/>
          <w:color w:val="2D3748"/>
          <w:sz w:val="20"/>
        </w:rPr>
        <w:t>Deliver formal public defense presentation before Internal Examiner, External Examiner, DGC Chairperson, and academic community. Present live decision-support dashboard and empirical validation results.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Week 24 (Final Corrections, Sign-Off &amp; Institutional Submission): </w:t>
      </w:r>
      <w:r>
        <w:rPr>
          <w:rFonts w:ascii="Calibri" w:hAnsi="Calibri"/>
          <w:color w:val="2D3748"/>
          <w:sz w:val="20"/>
        </w:rPr>
        <w:t>Incorporate minor examiner corrections. Obtain official defense approval signatures. Prepare final hardbound copies and electronic submission to Haramaya University Library and Institutional Repository.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2B6CB0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2B6CB0"/>
                <w:sz w:val="18"/>
              </w:rPr>
              <w:t>[GATE 2 MILESTONE: DEGREE COMPLETION &amp; FINAL SUBMISSION]</w:t>
              <w:br/>
            </w:r>
            <w:r>
              <w:rPr>
                <w:rFonts w:ascii="Calibri" w:hAnsi="Calibri"/>
                <w:color w:val="2D3748"/>
                <w:sz w:val="19"/>
              </w:rPr>
              <w:t>MILESTONE GATE 2 ACHIEVED: Final Master of Science degree requirements fulfilled. Completed, defended, and submitted MSc Data Science Thesis with open-source codebase and peer-reviewed journal draft ready for submission.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A365D"/>
          <w:sz w:val="26"/>
        </w:rPr>
        <w:t>3. Technical &amp; Academic Risk Mitigation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A365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Potential Execution Risk</w:t>
            </w:r>
          </w:p>
        </w:tc>
        <w:tc>
          <w:tcPr>
            <w:tcW w:type="dxa" w:w="1872"/>
            <w:shd w:fill="1A365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Impact / Probability</w:t>
            </w:r>
          </w:p>
        </w:tc>
        <w:tc>
          <w:tcPr>
            <w:tcW w:type="dxa" w:w="4896"/>
            <w:shd w:fill="1A365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Proactive Mitigation Strategy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GPU compute bottlenecks or out-of-memory errors during multimodal patch training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High / Medium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Utilize mixed-precision (FP16) training, gradient accumulation, and batch size auto-scaling; leverage Google Colab Pro / Kaggle GPU instances.</w:t>
            </w:r>
          </w:p>
        </w:tc>
      </w:tr>
      <w:tr>
        <w:tc>
          <w:tcPr>
            <w:tcW w:type="dxa" w:w="2592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Delayed or missing food-insecurity labels from official agencies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High / Low</w:t>
            </w:r>
          </w:p>
        </w:tc>
        <w:tc>
          <w:tcPr>
            <w:tcW w:type="dxa" w:w="4896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Supervised food-security modeling is strictly bounded to verified 2020–2026 FEWS NET shapefiles; physical Sc-PDSI/SPI targets cover the full 2015–2026 window.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Advisor availability constraints or delayed review cycles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Medium / Medium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Maintain strict dekadal progress memos, shared Overleaf/Word cloud documents, and bi-weekly milestone check-ins with Dr. Million Meshesha.</w:t>
            </w:r>
          </w:p>
        </w:tc>
      </w:tr>
      <w:tr>
        <w:tc>
          <w:tcPr>
            <w:tcW w:type="dxa" w:w="2592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Class imbalance distorting high-risk drought and IPC Phase 4/5 predictions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High / High</w:t>
            </w:r>
          </w:p>
        </w:tc>
        <w:tc>
          <w:tcPr>
            <w:tcW w:type="dxa" w:w="4896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Apply Focal Loss (gamma=2.0), class-weighted cross-entropy, and SMOTE exclusively within training folds; evaluate via PR-AUC and Macro F1.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18096"/>
        <w:sz w:val="17"/>
      </w:rPr>
      <w:t xml:space="preserve">Haramaya University | Postgraduate Directorate | 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18096"/>
        <w:sz w:val="17"/>
      </w:rPr>
      <w:t>MSc Thesis 6-Month Strategic Roadmap | Bona Nasser Abdo | Advisor: Dr. Million Meshesha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