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left"/>
      </w:pPr>
      <w:r>
        <w:rPr>
          <w:rFonts w:ascii="Arial" w:hAnsi="Arial"/>
          <w:b/>
          <w:color w:val="1A365D"/>
          <w:sz w:val="19"/>
        </w:rPr>
        <w:t>HARAMAYA UNIVERSITY | COLLEGE OF COMPUTING AND INFORMATICS</w:t>
        <w:br/>
        <w:t>DEPARTMENT OF INFORMATION SCIENCE | MSC IN DATA SCIENCE PROGRAM</w:t>
      </w:r>
    </w:p>
    <w:p>
      <w:pPr>
        <w:spacing w:before="40" w:after="160"/>
        <w:jc w:val="left"/>
      </w:pPr>
      <w:r>
        <w:rPr>
          <w:rFonts w:ascii="Arial" w:hAnsi="Arial"/>
          <w:b/>
          <w:color w:val="2B6CB0"/>
          <w:sz w:val="22"/>
        </w:rPr>
        <w:t>RESEARCH DOSSIER: TWO-PAGE STATEMENT OF THE PROBLEM &amp; DATA VERIFICATION</w:t>
        <w:br/>
        <w:t>Submitted in Response to Advisory Guidance from: Dr. Million Meshesha</w:t>
      </w:r>
    </w:p>
    <w:tbl>
      <w:tblPr>
        <w:tblW w:type="auto" w:w="0"/>
        <w:jc w:val="center"/>
        <w:tblLook w:firstColumn="1" w:firstRow="1" w:lastColumn="0" w:lastRow="0" w:noHBand="0" w:noVBand="1" w:val="04A0"/>
        <w:tblBorders>
          <w:top w:val="single" w:sz="6" w:space="0" w:color="CBD5E0"/>
          <w:bottom w:val="single" w:sz="6" w:space="0" w:color="CBD5E0"/>
          <w:insideH w:val="single" w:sz="4" w:space="0" w:color="CBD5E0"/>
          <w:insideV w:val="none"/>
          <w:left w:val="none"/>
          <w:right w:val="none"/>
        </w:tblBorders>
      </w:tblPr>
      <w:tblGrid>
        <w:gridCol w:w="4968"/>
        <w:gridCol w:w="4968"/>
      </w:tblGrid>
      <w:tr>
        <w:tc>
          <w:tcPr>
            <w:tcW w:type="dxa" w:w="4968"/>
            <w:shd w:fill="F7FAFC"/>
            <w:tcMar>
              <w:top w:w="60" w:type="dxa"/>
              <w:bottom w:w="60" w:type="dxa"/>
              <w:left w:w="100" w:type="dxa"/>
              <w:right w:w="100" w:type="dxa"/>
            </w:tcMar>
          </w:tcPr>
          <w:p>
            <w:pPr>
              <w:spacing w:before="0" w:after="0"/>
            </w:pPr>
            <w:r>
              <w:rPr>
                <w:rFonts w:ascii="Calibri" w:hAnsi="Calibri"/>
                <w:b/>
                <w:color w:val="1A365D"/>
                <w:sz w:val="17"/>
              </w:rPr>
              <w:t xml:space="preserve">Candidate: </w:t>
            </w:r>
            <w:r>
              <w:rPr>
                <w:rFonts w:ascii="Calibri" w:hAnsi="Calibri"/>
                <w:color w:val="2D3748"/>
                <w:sz w:val="17"/>
              </w:rPr>
              <w:t>Bona Nasser Abdo (MSc Data Science Candidate)</w:t>
            </w:r>
          </w:p>
        </w:tc>
        <w:tc>
          <w:tcPr>
            <w:tcW w:type="dxa" w:w="4968"/>
            <w:shd w:fill="F7FAFC"/>
            <w:tcMar>
              <w:top w:w="60" w:type="dxa"/>
              <w:bottom w:w="60" w:type="dxa"/>
              <w:left w:w="100" w:type="dxa"/>
              <w:right w:w="100" w:type="dxa"/>
            </w:tcMar>
          </w:tcPr>
          <w:p>
            <w:pPr>
              <w:spacing w:before="0" w:after="0"/>
            </w:pPr>
            <w:r>
              <w:rPr>
                <w:rFonts w:ascii="Calibri" w:hAnsi="Calibri"/>
                <w:b/>
                <w:color w:val="1A365D"/>
                <w:sz w:val="17"/>
              </w:rPr>
              <w:t xml:space="preserve">Advisor: </w:t>
            </w:r>
            <w:r>
              <w:rPr>
                <w:rFonts w:ascii="Calibri" w:hAnsi="Calibri"/>
                <w:color w:val="2D3748"/>
                <w:sz w:val="17"/>
              </w:rPr>
              <w:t>Dr. Million Meshesha (Associate Professor)</w:t>
            </w:r>
          </w:p>
        </w:tc>
      </w:tr>
      <w:tr>
        <w:tc>
          <w:tcPr>
            <w:tcW w:type="dxa" w:w="4968"/>
            <w:shd w:fill="F7FAFC"/>
            <w:tcMar>
              <w:top w:w="60" w:type="dxa"/>
              <w:bottom w:w="60" w:type="dxa"/>
              <w:left w:w="100" w:type="dxa"/>
              <w:right w:w="100" w:type="dxa"/>
            </w:tcMar>
          </w:tcPr>
          <w:p>
            <w:pPr>
              <w:spacing w:before="0" w:after="0"/>
            </w:pPr>
            <w:r>
              <w:rPr>
                <w:rFonts w:ascii="Calibri" w:hAnsi="Calibri"/>
                <w:b/>
                <w:color w:val="1A365D"/>
                <w:sz w:val="17"/>
              </w:rPr>
              <w:t xml:space="preserve">Thesis Working Title: </w:t>
            </w:r>
            <w:r>
              <w:rPr>
                <w:rFonts w:ascii="Calibri" w:hAnsi="Calibri"/>
                <w:color w:val="2D3748"/>
                <w:sz w:val="17"/>
              </w:rPr>
              <w:t>AI-Based Multimodal Deep Learning Early Warning System for Drought, Crop Advisory, and Food Insecurity Prediction in Eastern Ethiopia</w:t>
            </w:r>
          </w:p>
        </w:tc>
        <w:tc>
          <w:tcPr>
            <w:tcW w:type="dxa" w:w="4968"/>
            <w:shd w:fill="F7FAFC"/>
            <w:tcMar>
              <w:top w:w="60" w:type="dxa"/>
              <w:bottom w:w="60" w:type="dxa"/>
              <w:left w:w="100" w:type="dxa"/>
              <w:right w:w="100" w:type="dxa"/>
            </w:tcMar>
          </w:tcPr>
          <w:p>
            <w:pPr>
              <w:spacing w:before="0" w:after="0"/>
            </w:pPr>
            <w:r>
              <w:rPr>
                <w:rFonts w:ascii="Calibri" w:hAnsi="Calibri"/>
                <w:b/>
                <w:color w:val="1A365D"/>
                <w:sz w:val="17"/>
              </w:rPr>
              <w:t xml:space="preserve">Focus Geography: </w:t>
            </w:r>
            <w:r>
              <w:rPr>
                <w:rFonts w:ascii="Calibri" w:hAnsi="Calibri"/>
                <w:color w:val="2D3748"/>
                <w:sz w:val="17"/>
              </w:rPr>
              <w:t>Eastern and Western Hararghe Zones, Oromia, Ethiopia (41 Woredas)</w:t>
            </w:r>
          </w:p>
        </w:tc>
      </w:tr>
    </w:tbl>
    <w:p>
      <w:pPr>
        <w:keepNext/>
        <w:spacing w:before="200" w:after="40"/>
      </w:pPr>
      <w:r>
        <w:rPr>
          <w:rFonts w:ascii="Arial" w:hAnsi="Arial"/>
          <w:b/>
          <w:color w:val="1A365D"/>
          <w:sz w:val="21"/>
        </w:rPr>
        <w:t>1. Formal Verification of Multi-Source Data Availability</w:t>
      </w:r>
    </w:p>
    <w:p>
      <w:pPr>
        <w:spacing w:before="0" w:after="80" w:line="276" w:lineRule="auto"/>
      </w:pPr>
      <w:r>
        <w:rPr>
          <w:rFonts w:ascii="Calibri" w:hAnsi="Calibri"/>
          <w:sz w:val="19"/>
        </w:rPr>
        <w:t>In direct fulfillment of your preliminary directive, all required input datasets have been audited, inspected, and verified for open-access availability, zero-credential access, and temporal compatibility spanning from January 1990 to October 2026 across both Eastern and Western Hararghe Zones (41 woredas, extracted from official 2023 Ethiopian administrative boundary shapefiles):</w:t>
      </w:r>
    </w:p>
    <w:tbl>
      <w:tblPr>
        <w:tblW w:type="auto" w:w="0"/>
        <w:jc w:val="center"/>
        <w:tblLook w:firstColumn="1" w:firstRow="1" w:lastColumn="0" w:lastRow="0" w:noHBand="0" w:noVBand="1" w:val="04A0"/>
        <w:tblBorders>
          <w:top w:val="single" w:sz="6" w:space="0" w:color="CBD5E0"/>
          <w:bottom w:val="single" w:sz="6" w:space="0" w:color="CBD5E0"/>
          <w:insideH w:val="single" w:sz="4" w:space="0" w:color="CBD5E0"/>
          <w:insideV w:val="none"/>
          <w:left w:val="none"/>
          <w:right w:val="none"/>
        </w:tblBorders>
      </w:tblPr>
      <w:tblGrid>
        <w:gridCol w:w="2484"/>
        <w:gridCol w:w="2484"/>
        <w:gridCol w:w="2484"/>
        <w:gridCol w:w="2484"/>
      </w:tblGrid>
      <w:tr>
        <w:tc>
          <w:tcPr>
            <w:tcW w:type="dxa" w:w="1872"/>
            <w:shd w:fill="1A365D"/>
            <w:tcMar>
              <w:top w:w="60" w:type="dxa"/>
              <w:bottom w:w="60" w:type="dxa"/>
              <w:left w:w="80" w:type="dxa"/>
              <w:right w:w="80" w:type="dxa"/>
            </w:tcMar>
          </w:tcPr>
          <w:p>
            <w:pPr>
              <w:spacing w:before="0" w:after="0"/>
            </w:pPr>
            <w:r>
              <w:rPr>
                <w:rFonts w:ascii="Arial" w:hAnsi="Arial"/>
                <w:b/>
                <w:color w:val="FFFFFF"/>
                <w:sz w:val="17"/>
              </w:rPr>
              <w:t>Data Category</w:t>
            </w:r>
          </w:p>
        </w:tc>
        <w:tc>
          <w:tcPr>
            <w:tcW w:type="dxa" w:w="3168"/>
            <w:shd w:fill="1A365D"/>
            <w:tcMar>
              <w:top w:w="60" w:type="dxa"/>
              <w:bottom w:w="60" w:type="dxa"/>
              <w:left w:w="80" w:type="dxa"/>
              <w:right w:w="80" w:type="dxa"/>
            </w:tcMar>
          </w:tcPr>
          <w:p>
            <w:pPr>
              <w:spacing w:before="0" w:after="0"/>
            </w:pPr>
            <w:r>
              <w:rPr>
                <w:rFonts w:ascii="Arial" w:hAnsi="Arial"/>
                <w:b/>
                <w:color w:val="FFFFFF"/>
                <w:sz w:val="17"/>
              </w:rPr>
              <w:t>Verified Product &amp; Provider</w:t>
            </w:r>
          </w:p>
        </w:tc>
        <w:tc>
          <w:tcPr>
            <w:tcW w:type="dxa" w:w="2160"/>
            <w:shd w:fill="1A365D"/>
            <w:tcMar>
              <w:top w:w="60" w:type="dxa"/>
              <w:bottom w:w="60" w:type="dxa"/>
              <w:left w:w="80" w:type="dxa"/>
              <w:right w:w="80" w:type="dxa"/>
            </w:tcMar>
          </w:tcPr>
          <w:p>
            <w:pPr>
              <w:spacing w:before="0" w:after="0"/>
            </w:pPr>
            <w:r>
              <w:rPr>
                <w:rFonts w:ascii="Arial" w:hAnsi="Arial"/>
                <w:b/>
                <w:color w:val="FFFFFF"/>
                <w:sz w:val="17"/>
              </w:rPr>
              <w:t>Resolution &amp; Coverage</w:t>
            </w:r>
          </w:p>
        </w:tc>
        <w:tc>
          <w:tcPr>
            <w:tcW w:type="dxa" w:w="3168"/>
            <w:shd w:fill="1A365D"/>
            <w:tcMar>
              <w:top w:w="60" w:type="dxa"/>
              <w:bottom w:w="60" w:type="dxa"/>
              <w:left w:w="80" w:type="dxa"/>
              <w:right w:w="80" w:type="dxa"/>
            </w:tcMar>
          </w:tcPr>
          <w:p>
            <w:pPr>
              <w:spacing w:before="0" w:after="0"/>
            </w:pPr>
            <w:r>
              <w:rPr>
                <w:rFonts w:ascii="Arial" w:hAnsi="Arial"/>
                <w:b/>
                <w:color w:val="FFFFFF"/>
                <w:sz w:val="17"/>
              </w:rPr>
              <w:t>Operational Role in Thesis</w:t>
            </w:r>
          </w:p>
        </w:tc>
      </w:tr>
      <w:tr>
        <w:tc>
          <w:tcPr>
            <w:tcW w:type="dxa" w:w="1872"/>
            <w:shd w:fill="FFFFFF"/>
            <w:tcMar>
              <w:top w:w="50" w:type="dxa"/>
              <w:bottom w:w="50" w:type="dxa"/>
              <w:left w:w="80" w:type="dxa"/>
              <w:right w:w="80" w:type="dxa"/>
            </w:tcMar>
          </w:tcPr>
          <w:p>
            <w:pPr>
              <w:spacing w:before="0" w:after="0"/>
            </w:pPr>
            <w:r>
              <w:rPr>
                <w:rFonts w:ascii="Calibri" w:hAnsi="Calibri"/>
                <w:color w:val="2D3748"/>
                <w:sz w:val="17"/>
              </w:rPr>
              <w:t>Satellite Rasters</w:t>
            </w:r>
          </w:p>
        </w:tc>
        <w:tc>
          <w:tcPr>
            <w:tcW w:type="dxa" w:w="3168"/>
            <w:shd w:fill="FFFFFF"/>
            <w:tcMar>
              <w:top w:w="50" w:type="dxa"/>
              <w:bottom w:w="50" w:type="dxa"/>
              <w:left w:w="80" w:type="dxa"/>
              <w:right w:w="80" w:type="dxa"/>
            </w:tcMar>
          </w:tcPr>
          <w:p>
            <w:pPr>
              <w:spacing w:before="0" w:after="0"/>
            </w:pPr>
            <w:r>
              <w:rPr>
                <w:rFonts w:ascii="Calibri" w:hAnsi="Calibri"/>
                <w:color w:val="2D3748"/>
                <w:sz w:val="17"/>
              </w:rPr>
              <w:t>NASA MODIS MOD13Q1 (NDVI/EVI) &amp; MOD11A2 (LST)</w:t>
            </w:r>
          </w:p>
        </w:tc>
        <w:tc>
          <w:tcPr>
            <w:tcW w:type="dxa" w:w="2160"/>
            <w:shd w:fill="FFFFFF"/>
            <w:tcMar>
              <w:top w:w="50" w:type="dxa"/>
              <w:bottom w:w="50" w:type="dxa"/>
              <w:left w:w="80" w:type="dxa"/>
              <w:right w:w="80" w:type="dxa"/>
            </w:tcMar>
          </w:tcPr>
          <w:p>
            <w:pPr>
              <w:spacing w:before="0" w:after="0"/>
            </w:pPr>
            <w:r>
              <w:rPr>
                <w:rFonts w:ascii="Calibri" w:hAnsi="Calibri"/>
                <w:color w:val="2D3748"/>
                <w:sz w:val="17"/>
              </w:rPr>
              <w:t>250m / 1km, 1990–2026</w:t>
            </w:r>
          </w:p>
        </w:tc>
        <w:tc>
          <w:tcPr>
            <w:tcW w:type="dxa" w:w="3168"/>
            <w:shd w:fill="FFFFFF"/>
            <w:tcMar>
              <w:top w:w="50" w:type="dxa"/>
              <w:bottom w:w="50" w:type="dxa"/>
              <w:left w:w="80" w:type="dxa"/>
              <w:right w:w="80" w:type="dxa"/>
            </w:tcMar>
          </w:tcPr>
          <w:p>
            <w:pPr>
              <w:spacing w:before="0" w:after="0"/>
            </w:pPr>
            <w:r>
              <w:rPr>
                <w:rFonts w:ascii="Calibri" w:hAnsi="Calibri"/>
                <w:color w:val="2D3748"/>
                <w:sz w:val="17"/>
              </w:rPr>
              <w:t>Spatial canopy vigor, physiological stress, &amp; 2D-CNN visual patches</w:t>
            </w:r>
          </w:p>
        </w:tc>
      </w:tr>
      <w:tr>
        <w:tc>
          <w:tcPr>
            <w:tcW w:type="dxa" w:w="1872"/>
            <w:shd w:fill="F7FAFC"/>
            <w:tcMar>
              <w:top w:w="50" w:type="dxa"/>
              <w:bottom w:w="50" w:type="dxa"/>
              <w:left w:w="80" w:type="dxa"/>
              <w:right w:w="80" w:type="dxa"/>
            </w:tcMar>
          </w:tcPr>
          <w:p>
            <w:pPr>
              <w:spacing w:before="0" w:after="0"/>
            </w:pPr>
            <w:r>
              <w:rPr>
                <w:rFonts w:ascii="Calibri" w:hAnsi="Calibri"/>
                <w:color w:val="2D3748"/>
                <w:sz w:val="17"/>
              </w:rPr>
              <w:t>Soil &amp; Rain In-Situ</w:t>
            </w:r>
          </w:p>
        </w:tc>
        <w:tc>
          <w:tcPr>
            <w:tcW w:type="dxa" w:w="3168"/>
            <w:shd w:fill="F7FAFC"/>
            <w:tcMar>
              <w:top w:w="50" w:type="dxa"/>
              <w:bottom w:w="50" w:type="dxa"/>
              <w:left w:w="80" w:type="dxa"/>
              <w:right w:w="80" w:type="dxa"/>
            </w:tcMar>
          </w:tcPr>
          <w:p>
            <w:pPr>
              <w:spacing w:before="0" w:after="0"/>
            </w:pPr>
            <w:r>
              <w:rPr>
                <w:rFonts w:ascii="Calibri" w:hAnsi="Calibri"/>
                <w:color w:val="2D3748"/>
                <w:sz w:val="17"/>
              </w:rPr>
              <w:t>NASA SMAP L3 Soil Moisture &amp; CHIRPS v3 / GPM IMERG</w:t>
            </w:r>
          </w:p>
        </w:tc>
        <w:tc>
          <w:tcPr>
            <w:tcW w:type="dxa" w:w="2160"/>
            <w:shd w:fill="F7FAFC"/>
            <w:tcMar>
              <w:top w:w="50" w:type="dxa"/>
              <w:bottom w:w="50" w:type="dxa"/>
              <w:left w:w="80" w:type="dxa"/>
              <w:right w:w="80" w:type="dxa"/>
            </w:tcMar>
          </w:tcPr>
          <w:p>
            <w:pPr>
              <w:spacing w:before="0" w:after="0"/>
            </w:pPr>
            <w:r>
              <w:rPr>
                <w:rFonts w:ascii="Calibri" w:hAnsi="Calibri"/>
                <w:color w:val="2D3748"/>
                <w:sz w:val="17"/>
              </w:rPr>
              <w:t>9km / 0.05°, 1990–2026</w:t>
            </w:r>
          </w:p>
        </w:tc>
        <w:tc>
          <w:tcPr>
            <w:tcW w:type="dxa" w:w="3168"/>
            <w:shd w:fill="F7FAFC"/>
            <w:tcMar>
              <w:top w:w="50" w:type="dxa"/>
              <w:bottom w:w="50" w:type="dxa"/>
              <w:left w:w="80" w:type="dxa"/>
              <w:right w:w="80" w:type="dxa"/>
            </w:tcMar>
          </w:tcPr>
          <w:p>
            <w:pPr>
              <w:spacing w:before="0" w:after="0"/>
            </w:pPr>
            <w:r>
              <w:rPr>
                <w:rFonts w:ascii="Calibri" w:hAnsi="Calibri"/>
                <w:color w:val="2D3748"/>
                <w:sz w:val="17"/>
              </w:rPr>
              <w:t>Root-zone water depletion, SPI-1/3/6 calculation, temporal LSTM input</w:t>
            </w:r>
          </w:p>
        </w:tc>
      </w:tr>
      <w:tr>
        <w:tc>
          <w:tcPr>
            <w:tcW w:type="dxa" w:w="1872"/>
            <w:shd w:fill="FFFFFF"/>
            <w:tcMar>
              <w:top w:w="50" w:type="dxa"/>
              <w:bottom w:w="50" w:type="dxa"/>
              <w:left w:w="80" w:type="dxa"/>
              <w:right w:w="80" w:type="dxa"/>
            </w:tcMar>
          </w:tcPr>
          <w:p>
            <w:pPr>
              <w:spacing w:before="0" w:after="0"/>
            </w:pPr>
            <w:r>
              <w:rPr>
                <w:rFonts w:ascii="Calibri" w:hAnsi="Calibri"/>
                <w:color w:val="2D3748"/>
                <w:sz w:val="17"/>
              </w:rPr>
              <w:t>Atmospheric / ENSO</w:t>
            </w:r>
          </w:p>
        </w:tc>
        <w:tc>
          <w:tcPr>
            <w:tcW w:type="dxa" w:w="3168"/>
            <w:shd w:fill="FFFFFF"/>
            <w:tcMar>
              <w:top w:w="50" w:type="dxa"/>
              <w:bottom w:w="50" w:type="dxa"/>
              <w:left w:w="80" w:type="dxa"/>
              <w:right w:w="80" w:type="dxa"/>
            </w:tcMar>
          </w:tcPr>
          <w:p>
            <w:pPr>
              <w:spacing w:before="0" w:after="0"/>
            </w:pPr>
            <w:r>
              <w:rPr>
                <w:rFonts w:ascii="Calibri" w:hAnsi="Calibri"/>
                <w:color w:val="2D3748"/>
                <w:sz w:val="17"/>
              </w:rPr>
              <w:t>ECMWF ERA5 (T2m, Wind, PET) &amp; NOAA ERSSTv6 (Niño 3.4)</w:t>
            </w:r>
          </w:p>
        </w:tc>
        <w:tc>
          <w:tcPr>
            <w:tcW w:type="dxa" w:w="2160"/>
            <w:shd w:fill="FFFFFF"/>
            <w:tcMar>
              <w:top w:w="50" w:type="dxa"/>
              <w:bottom w:w="50" w:type="dxa"/>
              <w:left w:w="80" w:type="dxa"/>
              <w:right w:w="80" w:type="dxa"/>
            </w:tcMar>
          </w:tcPr>
          <w:p>
            <w:pPr>
              <w:spacing w:before="0" w:after="0"/>
            </w:pPr>
            <w:r>
              <w:rPr>
                <w:rFonts w:ascii="Calibri" w:hAnsi="Calibri"/>
                <w:color w:val="2D3748"/>
                <w:sz w:val="17"/>
              </w:rPr>
              <w:t>0.25° / Monthly, 1990–2026</w:t>
            </w:r>
          </w:p>
        </w:tc>
        <w:tc>
          <w:tcPr>
            <w:tcW w:type="dxa" w:w="3168"/>
            <w:shd w:fill="FFFFFF"/>
            <w:tcMar>
              <w:top w:w="50" w:type="dxa"/>
              <w:bottom w:w="50" w:type="dxa"/>
              <w:left w:w="80" w:type="dxa"/>
              <w:right w:w="80" w:type="dxa"/>
            </w:tcMar>
          </w:tcPr>
          <w:p>
            <w:pPr>
              <w:spacing w:before="0" w:after="0"/>
            </w:pPr>
            <w:r>
              <w:rPr>
                <w:rFonts w:ascii="Calibri" w:hAnsi="Calibri"/>
                <w:color w:val="2D3748"/>
                <w:sz w:val="17"/>
              </w:rPr>
              <w:t>Global teleconnections (Conv1D-LSTM) &amp; atmospheric moisture deficit</w:t>
            </w:r>
          </w:p>
        </w:tc>
      </w:tr>
      <w:tr>
        <w:tc>
          <w:tcPr>
            <w:tcW w:type="dxa" w:w="1872"/>
            <w:shd w:fill="F7FAFC"/>
            <w:tcMar>
              <w:top w:w="50" w:type="dxa"/>
              <w:bottom w:w="50" w:type="dxa"/>
              <w:left w:w="80" w:type="dxa"/>
              <w:right w:w="80" w:type="dxa"/>
            </w:tcMar>
          </w:tcPr>
          <w:p>
            <w:pPr>
              <w:spacing w:before="0" w:after="0"/>
            </w:pPr>
            <w:r>
              <w:rPr>
                <w:rFonts w:ascii="Calibri" w:hAnsi="Calibri"/>
                <w:color w:val="2D3748"/>
                <w:sz w:val="17"/>
              </w:rPr>
              <w:t>Edaphic &amp; Human</w:t>
            </w:r>
          </w:p>
        </w:tc>
        <w:tc>
          <w:tcPr>
            <w:tcW w:type="dxa" w:w="3168"/>
            <w:shd w:fill="F7FAFC"/>
            <w:tcMar>
              <w:top w:w="50" w:type="dxa"/>
              <w:bottom w:w="50" w:type="dxa"/>
              <w:left w:w="80" w:type="dxa"/>
              <w:right w:w="80" w:type="dxa"/>
            </w:tcMar>
          </w:tcPr>
          <w:p>
            <w:pPr>
              <w:spacing w:before="0" w:after="0"/>
            </w:pPr>
            <w:r>
              <w:rPr>
                <w:rFonts w:ascii="Calibri" w:hAnsi="Calibri"/>
                <w:color w:val="2D3748"/>
                <w:sz w:val="17"/>
              </w:rPr>
              <w:t>ISRIC SoilGrids 250m, WorldPop &amp; CSA/ESS Agricultural Stats</w:t>
            </w:r>
          </w:p>
        </w:tc>
        <w:tc>
          <w:tcPr>
            <w:tcW w:type="dxa" w:w="2160"/>
            <w:shd w:fill="F7FAFC"/>
            <w:tcMar>
              <w:top w:w="50" w:type="dxa"/>
              <w:bottom w:w="50" w:type="dxa"/>
              <w:left w:w="80" w:type="dxa"/>
              <w:right w:w="80" w:type="dxa"/>
            </w:tcMar>
          </w:tcPr>
          <w:p>
            <w:pPr>
              <w:spacing w:before="0" w:after="0"/>
            </w:pPr>
            <w:r>
              <w:rPr>
                <w:rFonts w:ascii="Calibri" w:hAnsi="Calibri"/>
                <w:color w:val="2D3748"/>
                <w:sz w:val="17"/>
              </w:rPr>
              <w:t>250m / 100m / Woreda, Annual</w:t>
            </w:r>
          </w:p>
        </w:tc>
        <w:tc>
          <w:tcPr>
            <w:tcW w:type="dxa" w:w="3168"/>
            <w:shd w:fill="F7FAFC"/>
            <w:tcMar>
              <w:top w:w="50" w:type="dxa"/>
              <w:bottom w:w="50" w:type="dxa"/>
              <w:left w:w="80" w:type="dxa"/>
              <w:right w:w="80" w:type="dxa"/>
            </w:tcMar>
          </w:tcPr>
          <w:p>
            <w:pPr>
              <w:spacing w:before="0" w:after="0"/>
            </w:pPr>
            <w:r>
              <w:rPr>
                <w:rFonts w:ascii="Calibri" w:hAnsi="Calibri"/>
                <w:color w:val="2D3748"/>
                <w:sz w:val="17"/>
              </w:rPr>
              <w:t>Profile water capacity (AWC), population exposure, &amp; crop area/yield</w:t>
            </w:r>
          </w:p>
        </w:tc>
      </w:tr>
      <w:tr>
        <w:tc>
          <w:tcPr>
            <w:tcW w:type="dxa" w:w="1872"/>
            <w:shd w:fill="FFFFFF"/>
            <w:tcMar>
              <w:top w:w="50" w:type="dxa"/>
              <w:bottom w:w="50" w:type="dxa"/>
              <w:left w:w="80" w:type="dxa"/>
              <w:right w:w="80" w:type="dxa"/>
            </w:tcMar>
          </w:tcPr>
          <w:p>
            <w:pPr>
              <w:spacing w:before="0" w:after="0"/>
            </w:pPr>
            <w:r>
              <w:rPr>
                <w:rFonts w:ascii="Calibri" w:hAnsi="Calibri"/>
                <w:color w:val="2D3748"/>
                <w:sz w:val="17"/>
              </w:rPr>
              <w:t>Outcome Labels</w:t>
            </w:r>
          </w:p>
        </w:tc>
        <w:tc>
          <w:tcPr>
            <w:tcW w:type="dxa" w:w="3168"/>
            <w:shd w:fill="FFFFFF"/>
            <w:tcMar>
              <w:top w:w="50" w:type="dxa"/>
              <w:bottom w:w="50" w:type="dxa"/>
              <w:left w:w="80" w:type="dxa"/>
              <w:right w:w="80" w:type="dxa"/>
            </w:tcMar>
          </w:tcPr>
          <w:p>
            <w:pPr>
              <w:spacing w:before="0" w:after="0"/>
            </w:pPr>
            <w:r>
              <w:rPr>
                <w:rFonts w:ascii="Calibri" w:hAnsi="Calibri"/>
                <w:color w:val="2D3748"/>
                <w:sz w:val="17"/>
              </w:rPr>
              <w:t>FEWS NET Data Explorer &amp; IPC Acute Food Insecurity GIS</w:t>
            </w:r>
          </w:p>
        </w:tc>
        <w:tc>
          <w:tcPr>
            <w:tcW w:type="dxa" w:w="2160"/>
            <w:shd w:fill="FFFFFF"/>
            <w:tcMar>
              <w:top w:w="50" w:type="dxa"/>
              <w:bottom w:w="50" w:type="dxa"/>
              <w:left w:w="80" w:type="dxa"/>
              <w:right w:w="80" w:type="dxa"/>
            </w:tcMar>
          </w:tcPr>
          <w:p>
            <w:pPr>
              <w:spacing w:before="0" w:after="0"/>
            </w:pPr>
            <w:r>
              <w:rPr>
                <w:rFonts w:ascii="Calibri" w:hAnsi="Calibri"/>
                <w:color w:val="2D3748"/>
                <w:sz w:val="17"/>
              </w:rPr>
              <w:t>41 Woredas / Livelihood Zone, 1990–26</w:t>
            </w:r>
          </w:p>
        </w:tc>
        <w:tc>
          <w:tcPr>
            <w:tcW w:type="dxa" w:w="3168"/>
            <w:shd w:fill="FFFFFF"/>
            <w:tcMar>
              <w:top w:w="50" w:type="dxa"/>
              <w:bottom w:w="50" w:type="dxa"/>
              <w:left w:w="80" w:type="dxa"/>
              <w:right w:w="80" w:type="dxa"/>
            </w:tcMar>
          </w:tcPr>
          <w:p>
            <w:pPr>
              <w:spacing w:before="0" w:after="0"/>
            </w:pPr>
            <w:r>
              <w:rPr>
                <w:rFonts w:ascii="Calibri" w:hAnsi="Calibri"/>
                <w:color w:val="2D3748"/>
                <w:sz w:val="17"/>
              </w:rPr>
              <w:t>Supervised acute food insecurity targets: IPC Phase 1 (Minimal) to 5 (Famine)</w:t>
            </w:r>
          </w:p>
        </w:tc>
      </w:tr>
    </w:tbl>
    <w:p>
      <w:pPr>
        <w:keepNext/>
        <w:spacing w:before="200" w:after="40"/>
      </w:pPr>
      <w:r>
        <w:rPr>
          <w:rFonts w:ascii="Arial" w:hAnsi="Arial"/>
          <w:b/>
          <w:color w:val="1A365D"/>
          <w:sz w:val="21"/>
        </w:rPr>
        <w:t>2. Statement of the Problem: Early Warning in Eastern Hararghe</w:t>
      </w:r>
    </w:p>
    <w:p>
      <w:pPr>
        <w:spacing w:before="0" w:after="60" w:line="276" w:lineRule="auto"/>
      </w:pPr>
      <w:r>
        <w:rPr>
          <w:rFonts w:ascii="Calibri" w:hAnsi="Calibri"/>
          <w:sz w:val="18"/>
        </w:rPr>
        <w:t>Eastern and Western Hararghe Zones (East Hararge and West Hararge, Oromia Regional State, Ethiopia) represent one of the most chronically vulnerable, hydro-meteorologically fragile, and food-insecure regions in the Horn of Africa. Encompassing 41 administrative woredas (24 in East Hararge and 17 in West Hararge, extracted from official 2023 administrative shapefiles), the study area spans an extreme topographic gradient from the high-altitude peaks of Gara Muleta and Chercher mountains (&gt;3,400 m a.s.l.) down to the arid pastoral lowlands of Babile, Fedis, and Mieso (&lt;800 m a.s.l.). Subsistence livelihoods rely on mixed rainfed farming of sorghum, maize, haricot beans, and wheat, alongside agro-pastoral livestock. The region depends on a highly volatile bimodal rainfall regime comprising the Belg (March–May) and Kiremt / Deyr (June–September) seasons. When rains falter, agricultural drought precipitates rapidly into acute humanitarian food crises. Despite substantial investments in national early warning systems (EWS) managed by the Ethiopian Meteorological Institute (EMI) and the Disaster Risk Management Commission (EDRMC), existing early-warning mechanisms suffer from four systemic structural failures:</w:t>
      </w:r>
    </w:p>
    <w:p>
      <w:pPr>
        <w:pStyle w:val="ListBullet"/>
        <w:spacing w:before="0" w:after="40" w:line="269" w:lineRule="auto"/>
      </w:pPr>
      <w:r>
        <w:rPr>
          <w:rFonts w:ascii="Calibri" w:hAnsi="Calibri"/>
          <w:b/>
          <w:color w:val="1A365D"/>
          <w:sz w:val="18"/>
        </w:rPr>
        <w:t xml:space="preserve">The Spatial Resolution Disconnect: </w:t>
      </w:r>
      <w:r>
        <w:rPr>
          <w:rFonts w:ascii="Calibri" w:hAnsi="Calibri"/>
          <w:color w:val="2D3748"/>
          <w:sz w:val="18"/>
        </w:rPr>
        <w:t>Conventional Global and Regional Climate Models (GCMs/RCMs) operate at horizontal resolutions between 25 km and 100 km. In the dissected topography of Eastern Hararghe, localized microclimates and moisture balances vary across distances of 1 to 5 km. Regional aggregates completely mask localized dry spells and valley moisture stress, rendering synoptic weather bulletins useless for woreda-level decision-makers.</w:t>
      </w:r>
    </w:p>
    <w:p>
      <w:pPr>
        <w:pStyle w:val="ListBullet"/>
        <w:spacing w:before="0" w:after="40" w:line="269" w:lineRule="auto"/>
      </w:pPr>
      <w:r>
        <w:rPr>
          <w:rFonts w:ascii="Calibri" w:hAnsi="Calibri"/>
          <w:b/>
          <w:color w:val="1A365D"/>
          <w:sz w:val="18"/>
        </w:rPr>
        <w:t xml:space="preserve">The Retrospective Monitoring Bias: </w:t>
      </w:r>
      <w:r>
        <w:rPr>
          <w:rFonts w:ascii="Calibri" w:hAnsi="Calibri"/>
          <w:color w:val="2D3748"/>
          <w:sz w:val="18"/>
        </w:rPr>
        <w:t>Standard operational satellite drought indices (e.g., NDVI anomalies, Vegetation Condition Index [VCI]) are fundamentally reactive; they detect canopy stress only after irreversible physiological cellular wilting has already compromised crop yields. Farmers and extension agents require forward-looking lead-time forecasts (1 to 3 months ahead) to adjust sowing dates, seed varieties, and water conservation practices before planting.</w:t>
      </w:r>
    </w:p>
    <w:p>
      <w:pPr>
        <w:pStyle w:val="ListBullet"/>
        <w:spacing w:before="0" w:after="40" w:line="269" w:lineRule="auto"/>
      </w:pPr>
      <w:r>
        <w:rPr>
          <w:rFonts w:ascii="Calibri" w:hAnsi="Calibri"/>
          <w:b/>
          <w:color w:val="1A365D"/>
          <w:sz w:val="18"/>
        </w:rPr>
        <w:t xml:space="preserve">The Socio-Technical Usability Gap &amp; Traditional Knowledge Exclusion: </w:t>
      </w:r>
      <w:r>
        <w:rPr>
          <w:rFonts w:ascii="Calibri" w:hAnsi="Calibri"/>
          <w:color w:val="2D3748"/>
          <w:sz w:val="18"/>
        </w:rPr>
        <w:t>Operational meteorological bulletins provide abstract, technical probabilistic terciles (e.g., 'a 35% probability of below-normal rain') that fail to translate into plot-level agronomic advisories. Furthermore, existing techno-centric systems systematically ignore centuries of Indigenous Ecological Knowledge (IEK) preserved by local farmers, generating deep skepticism, low trust, and near-zero advisory adoption.</w:t>
      </w:r>
    </w:p>
    <w:p>
      <w:pPr>
        <w:pStyle w:val="ListBullet"/>
        <w:spacing w:before="0" w:after="40" w:line="269" w:lineRule="auto"/>
      </w:pPr>
      <w:r>
        <w:rPr>
          <w:rFonts w:ascii="Calibri" w:hAnsi="Calibri"/>
          <w:b/>
          <w:color w:val="1A365D"/>
          <w:sz w:val="18"/>
        </w:rPr>
        <w:t xml:space="preserve">The Analytical Decoupling of Hazard from Food Insecurity: </w:t>
      </w:r>
      <w:r>
        <w:rPr>
          <w:rFonts w:ascii="Calibri" w:hAnsi="Calibri"/>
          <w:color w:val="2D3748"/>
          <w:sz w:val="18"/>
        </w:rPr>
        <w:t>Current early warning frameworks operate in complete institutional isolation: climatologists model physical rainfall anomalies without considering socioeconomic vulnerability or crop phenology, while humanitarian agencies (FEWS NET, IPC) evaluate acute food insecurity via periodic, retrospective surveys. There is no unified, multimodal framework that captures the non-linear cascading continuum: Global Oceanic Forcing -&gt; Local Rainfall Anomaly -&gt; Soil Water Depletion -&gt; Crop Yield Failure -&gt; Acute Household Food Insecurity (IPC Phases).</w:t>
      </w:r>
    </w:p>
    <w:p>
      <w:pPr>
        <w:keepNext/>
        <w:spacing w:before="160" w:after="40"/>
      </w:pPr>
      <w:r>
        <w:rPr>
          <w:rFonts w:ascii="Arial" w:hAnsi="Arial"/>
          <w:b/>
          <w:color w:val="1A365D"/>
          <w:sz w:val="21"/>
        </w:rPr>
        <w:t>3. Summary of Previous Studies Investigating the Problem</w:t>
      </w:r>
    </w:p>
    <w:p>
      <w:pPr>
        <w:spacing w:before="0" w:after="60" w:line="276" w:lineRule="auto"/>
      </w:pPr>
      <w:r>
        <w:rPr>
          <w:rFonts w:ascii="Calibri" w:hAnsi="Calibri"/>
          <w:sz w:val="18"/>
        </w:rPr>
        <w:t>Recent computational and climatological literature has attempted to address agricultural drought and food insecurity through machine learning and statistical modeling, but with critical limitations:</w:t>
      </w:r>
    </w:p>
    <w:p>
      <w:pPr>
        <w:pStyle w:val="ListBullet"/>
        <w:spacing w:before="0" w:after="40" w:line="269" w:lineRule="auto"/>
      </w:pPr>
      <w:r>
        <w:rPr>
          <w:rFonts w:ascii="Calibri" w:hAnsi="Calibri"/>
          <w:b/>
          <w:color w:val="2B6CB0"/>
          <w:sz w:val="18"/>
        </w:rPr>
        <w:t xml:space="preserve">Regional Tabular Food Insecurity ML: </w:t>
      </w:r>
      <w:r>
        <w:rPr>
          <w:rFonts w:ascii="Calibri" w:hAnsi="Calibri"/>
          <w:color w:val="2D3748"/>
          <w:sz w:val="18"/>
        </w:rPr>
        <w:t>Busker et al. (2024, Earth's Future) trained XGBoost models on 20+ tabular indicators to predict FEWS NET food crises across the Horn of Africa up to 12 months ahead. While achieving skill up to 3 months in pastoral zones, the model operates at coarse administrative scales, relies entirely on tabular aggregations, and fails to learn visual feature representations directly from satellite imagery.</w:t>
      </w:r>
    </w:p>
    <w:p>
      <w:pPr>
        <w:pStyle w:val="ListBullet"/>
        <w:spacing w:before="0" w:after="40" w:line="269" w:lineRule="auto"/>
      </w:pPr>
      <w:r>
        <w:rPr>
          <w:rFonts w:ascii="Calibri" w:hAnsi="Calibri"/>
          <w:b/>
          <w:color w:val="2B6CB0"/>
          <w:sz w:val="18"/>
        </w:rPr>
        <w:t xml:space="preserve">National Heterogeneous Data Integration: </w:t>
      </w:r>
      <w:r>
        <w:rPr>
          <w:rFonts w:ascii="Calibri" w:hAnsi="Calibri"/>
          <w:color w:val="2D3748"/>
          <w:sz w:val="18"/>
        </w:rPr>
        <w:t>Baye, Assabie, and Asfaw (2026, J. Agric. &amp; Food Res.) developed ML/DL architectures integrating climate, crop production, conflict, and macroeconomic variables for food security prediction in Ethiopia. However, the study focuses on national-level aggregates, omitting localized microclimatic topographies and plot-level agronomic advisories.</w:t>
      </w:r>
    </w:p>
    <w:p>
      <w:pPr>
        <w:pStyle w:val="ListBullet"/>
        <w:spacing w:before="0" w:after="40" w:line="269" w:lineRule="auto"/>
      </w:pPr>
      <w:r>
        <w:rPr>
          <w:rFonts w:ascii="Calibri" w:hAnsi="Calibri"/>
          <w:b/>
          <w:color w:val="2B6CB0"/>
          <w:sz w:val="18"/>
        </w:rPr>
        <w:t xml:space="preserve">Localized Machine Learning for Crop Yield: </w:t>
      </w:r>
      <w:r>
        <w:rPr>
          <w:rFonts w:ascii="Calibri" w:hAnsi="Calibri"/>
          <w:color w:val="2D3748"/>
          <w:sz w:val="18"/>
        </w:rPr>
        <w:t>Abate, Aman, and Adem (2025, Scientific Reports) evaluated machine learning algorithms using satellite data for crop yield prediction in Eastern Ethiopia. While demonstrating the viability of satellite data in Hararghe, the study was limited to static end-of-season yield estimations rather than multi-lead early warning forecasting.</w:t>
      </w:r>
    </w:p>
    <w:p>
      <w:pPr>
        <w:pStyle w:val="ListBullet"/>
        <w:spacing w:before="0" w:after="40" w:line="269" w:lineRule="auto"/>
      </w:pPr>
      <w:r>
        <w:rPr>
          <w:rFonts w:ascii="Calibri" w:hAnsi="Calibri"/>
          <w:b/>
          <w:color w:val="2B6CB0"/>
          <w:sz w:val="18"/>
        </w:rPr>
        <w:t xml:space="preserve">Physical Climatology and Teleconnection Modeling: </w:t>
      </w:r>
      <w:r>
        <w:rPr>
          <w:rFonts w:ascii="Calibri" w:hAnsi="Calibri"/>
          <w:color w:val="2D3748"/>
          <w:sz w:val="18"/>
        </w:rPr>
        <w:t>Megbar &amp; Tadesse (2016) and Menberu &amp; Addisu (2018) rigorously established the teleconnection between Pacific ENSO indices and Ethiopian drought, and demonstrated the superiority of the Self-Calibrated Palmer Drought Severity Index (Sc-PDSI) in modeling two-layer soil moisture budgets. Arash, Wondie, &amp; Belayneh (2025) and the AgriMinds framework advanced this by coupling Conv1D-LSTM ENSO models with Super-Hybrid CNN-LSTM-Fourier networks in the Choke Mountain Watershed, proving the power of hybrid architectures but focusing exclusively on physical drought hazards without modeling human food security outcomes.</w:t>
      </w:r>
    </w:p>
    <w:p>
      <w:pPr>
        <w:keepNext/>
        <w:spacing w:before="160" w:after="40"/>
      </w:pPr>
      <w:r>
        <w:rPr>
          <w:rFonts w:ascii="Arial" w:hAnsi="Arial"/>
          <w:b/>
          <w:color w:val="1A365D"/>
          <w:sz w:val="21"/>
        </w:rPr>
        <w:t>4. Identified Gaps in the Reviewed Literature</w:t>
      </w:r>
    </w:p>
    <w:p>
      <w:pPr>
        <w:pStyle w:val="ListBullet"/>
        <w:spacing w:before="0" w:after="40" w:line="269" w:lineRule="auto"/>
      </w:pPr>
      <w:r>
        <w:rPr>
          <w:rFonts w:ascii="Calibri" w:hAnsi="Calibri"/>
          <w:b/>
          <w:color w:val="C53030"/>
          <w:sz w:val="18"/>
        </w:rPr>
        <w:t xml:space="preserve">Gap 1: Absence of Modality-Specific Deep Multimodal Fusion: </w:t>
      </w:r>
      <w:r>
        <w:rPr>
          <w:rFonts w:ascii="Calibri" w:hAnsi="Calibri"/>
          <w:color w:val="2D3748"/>
          <w:sz w:val="18"/>
        </w:rPr>
        <w:t>Existing studies either process tabular features via gradient boosting (Busker et al., 2024) or use single-modality neural networks. None integrate a joint architecture that simultaneously extracts 2D spatial image textures (CNN), multi-month temporal sequence memory (LSTM), harmonic seasonal cycles (Fast Fourier Transform), and structured socioeconomic context (MLP) through dynamic gated cross-attention.</w:t>
      </w:r>
    </w:p>
    <w:p>
      <w:pPr>
        <w:pStyle w:val="ListBullet"/>
        <w:spacing w:before="0" w:after="40" w:line="269" w:lineRule="auto"/>
      </w:pPr>
      <w:r>
        <w:rPr>
          <w:rFonts w:ascii="Calibri" w:hAnsi="Calibri"/>
          <w:b/>
          <w:color w:val="C53030"/>
          <w:sz w:val="18"/>
        </w:rPr>
        <w:t xml:space="preserve">Gap 2: Decoupling of Physical Climatology from IPC Food Insecurity Phases: </w:t>
      </w:r>
      <w:r>
        <w:rPr>
          <w:rFonts w:ascii="Calibri" w:hAnsi="Calibri"/>
          <w:color w:val="2D3748"/>
          <w:sz w:val="18"/>
        </w:rPr>
        <w:t>Prior work treats meteorological drought and humanitarian food insecurity as disjoint phenomena. There is a total lack of unified modeling bridging physical two-layer soil-water balance (Sc-PDSI, SPI-3) and crop biological sensitivity directly to FEWS NET / IPC acute food insecurity classifications.</w:t>
      </w:r>
    </w:p>
    <w:p>
      <w:pPr>
        <w:pStyle w:val="ListBullet"/>
        <w:spacing w:before="0" w:after="40" w:line="269" w:lineRule="auto"/>
      </w:pPr>
      <w:r>
        <w:rPr>
          <w:rFonts w:ascii="Calibri" w:hAnsi="Calibri"/>
          <w:b/>
          <w:color w:val="C53030"/>
          <w:sz w:val="18"/>
        </w:rPr>
        <w:t xml:space="preserve">Gap 3: Failure to Bridge the Usability Gap through Prescriptive Agronomy: </w:t>
      </w:r>
      <w:r>
        <w:rPr>
          <w:rFonts w:ascii="Calibri" w:hAnsi="Calibri"/>
          <w:color w:val="2D3748"/>
          <w:sz w:val="18"/>
        </w:rPr>
        <w:t>Existing models emit raw probabilities or categorical drought tags without translating hazard intensities into crop-specific phenological risk adjustments (e.g., scaling risks for maize vs. sorghum) or triggering actionable 4-tier prescriptive farm action packages.</w:t>
      </w:r>
    </w:p>
    <w:p>
      <w:pPr>
        <w:pStyle w:val="ListBullet"/>
        <w:spacing w:before="0" w:after="40" w:line="269" w:lineRule="auto"/>
      </w:pPr>
      <w:r>
        <w:rPr>
          <w:rFonts w:ascii="Calibri" w:hAnsi="Calibri"/>
          <w:b/>
          <w:color w:val="C53030"/>
          <w:sz w:val="18"/>
        </w:rPr>
        <w:t xml:space="preserve">Gap 4: Complete Neglect of Indigenous Knowledge and Model Opacity: </w:t>
      </w:r>
      <w:r>
        <w:rPr>
          <w:rFonts w:ascii="Calibri" w:hAnsi="Calibri"/>
          <w:color w:val="2D3748"/>
          <w:sz w:val="18"/>
        </w:rPr>
        <w:t>Existing ML approaches operate as black-boxes without explainability (XAI), alienating extension agents. Crucially, none provide a computational consensus engine to reconcile AI forecasts with centuries of community-validated Indigenous Ecological Knowledge (IEK).</w:t>
      </w:r>
    </w:p>
    <w:p>
      <w:pPr>
        <w:keepNext/>
        <w:spacing w:before="160" w:after="40"/>
      </w:pPr>
      <w:r>
        <w:rPr>
          <w:rFonts w:ascii="Arial" w:hAnsi="Arial"/>
          <w:b/>
          <w:color w:val="1A365D"/>
          <w:sz w:val="21"/>
        </w:rPr>
        <w:t>5. Aim of the Study</w:t>
      </w:r>
    </w:p>
    <w:p>
      <w:pPr>
        <w:spacing w:before="0" w:after="80" w:line="276" w:lineRule="auto"/>
      </w:pPr>
      <w:r>
        <w:rPr>
          <w:rFonts w:ascii="Calibri" w:hAnsi="Calibri"/>
          <w:i/>
          <w:color w:val="1A365D"/>
          <w:sz w:val="19"/>
        </w:rPr>
        <w:t>The overall aim of this MSc research is to design, develop, empirically benchmark, and deploy an explainable, multimodal deep learning-based early warning system that integrates satellite Earth observations, hydro-climatic teleconnections, vegetation indices, soil moisture, agricultural production statistics, and socioeconomic vulnerability data to simultaneously predict localized physical drought hazards, prescriptive crop-level risks, and acute food-insecurity phases across a 1- to 3-month forecast lead horizon in Eastern Hararghe, Ethiopia.</w:t>
      </w:r>
    </w:p>
    <w:p>
      <w:pPr>
        <w:keepNext/>
        <w:spacing w:before="160" w:after="40"/>
      </w:pPr>
      <w:r>
        <w:rPr>
          <w:rFonts w:ascii="Arial" w:hAnsi="Arial"/>
          <w:b/>
          <w:color w:val="1A365D"/>
          <w:sz w:val="21"/>
        </w:rPr>
        <w:t>6. Three Major Research Questions</w:t>
      </w:r>
    </w:p>
    <w:p>
      <w:pPr>
        <w:pStyle w:val="ListBullet"/>
        <w:spacing w:before="0" w:after="60" w:line="276" w:lineRule="auto"/>
      </w:pPr>
      <w:r>
        <w:rPr>
          <w:rFonts w:ascii="Calibri" w:hAnsi="Calibri"/>
          <w:b/>
          <w:color w:val="1A365D"/>
          <w:sz w:val="18"/>
        </w:rPr>
        <w:t xml:space="preserve">Research Question 1 (Data Harmonization &amp; Representation Learning): </w:t>
      </w:r>
      <w:r>
        <w:rPr>
          <w:rFonts w:ascii="Calibri" w:hAnsi="Calibri"/>
          <w:color w:val="2D3748"/>
          <w:sz w:val="18"/>
        </w:rPr>
        <w:t>How can multi-source, heterogeneous satellite imagery (MODIS NDVI/LST), sequential hydro-climatic observations (CHIRPS precipitation, SMAP soil moisture, ERA5 variables), oceanic teleconnection indices (Niño 3.4), and tabular agricultural-socioeconomic data be systematically harmonized into an immutable spatiotemporal data cube and encoded into specialized latent feature spaces without temporal data leakage?</w:t>
      </w:r>
    </w:p>
    <w:p>
      <w:pPr>
        <w:pStyle w:val="ListBullet"/>
        <w:spacing w:before="0" w:after="60" w:line="276" w:lineRule="auto"/>
      </w:pPr>
      <w:r>
        <w:rPr>
          <w:rFonts w:ascii="Calibri" w:hAnsi="Calibri"/>
          <w:b/>
          <w:color w:val="1A365D"/>
          <w:sz w:val="18"/>
        </w:rPr>
        <w:t xml:space="preserve">Research Question 2 (Multimodal Fusion, Multi-Task Prediction &amp; Lead Horizon): </w:t>
      </w:r>
      <w:r>
        <w:rPr>
          <w:rFonts w:ascii="Calibri" w:hAnsi="Calibri"/>
          <w:color w:val="2D3748"/>
          <w:sz w:val="18"/>
        </w:rPr>
        <w:t>To what extent does a Super-Hybrid Deep Learning Architecture with Gated Cross-Attention Fusion outperform conventional unimodal models and machine learning baselines (Random Forest, XGBoost, LSTM) in simultaneously forecasting physical drought hazard P(SPI-3 &lt;= -1), crop-sensitivity adjusted risk P_adj, and acute food insecurity (FEWS NET / IPC Phases 1–5) across 1-, 2-, and 3-month lead horizons under the Brier Skill Score (BSS)?</w:t>
      </w:r>
    </w:p>
    <w:p>
      <w:pPr>
        <w:pStyle w:val="ListBullet"/>
        <w:spacing w:before="0" w:after="60" w:line="276" w:lineRule="auto"/>
      </w:pPr>
      <w:r>
        <w:rPr>
          <w:rFonts w:ascii="Calibri" w:hAnsi="Calibri"/>
          <w:b/>
          <w:color w:val="1A365D"/>
          <w:sz w:val="18"/>
        </w:rPr>
        <w:t xml:space="preserve">Research Question 3 (Explainability, Indigenous Knowledge &amp; Decision Support): </w:t>
      </w:r>
      <w:r>
        <w:rPr>
          <w:rFonts w:ascii="Calibri" w:hAnsi="Calibri"/>
          <w:color w:val="2D3748"/>
          <w:sz w:val="18"/>
        </w:rPr>
        <w:t>How can Explainable AI methods (SHAP attributions, Grad-CAM spatial saliency heatmaps) and a Bi-Directional Indigenous Ecological Knowledge (IEK) consensus engine be integrated within a Neo4j semantic knowledge graph and an enterprise decision-support platform (Web Command Centre and offline mobile application) to deliver actionable, culturally trusted early-warning advisories in Eastern Hararghe?</w:t>
      </w:r>
    </w:p>
    <w:p>
      <w:pPr>
        <w:spacing w:before="200" w:after="0"/>
      </w:pPr>
      <w:r>
        <w:rPr>
          <w:rFonts w:ascii="Calibri" w:hAnsi="Calibri"/>
          <w:i/>
          <w:color w:val="718096"/>
          <w:sz w:val="17"/>
        </w:rPr>
        <w:t>Respectfully submitted for your academic review, guidance, and direction.</w:t>
        <w:br/>
        <w:t>Bona Nasser Abdo | bonanasser4@gmail.com | MSc Candidate in Data Science</w:t>
      </w:r>
    </w:p>
    <w:sectPr w:rsidR="00FC693F" w:rsidRPr="0006063C" w:rsidSect="00034616">
      <w:headerReference w:type="default" r:id="rId9"/>
      <w:footerReference w:type="default" r:id="rId10"/>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18096"/>
        <w:sz w:val="17"/>
      </w:rPr>
      <w:t xml:space="preserve">Haramaya University | Department of Information Science | Page </w:t>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18096"/>
        <w:sz w:val="17"/>
      </w:rPr>
      <w:t>MSc Thesis Research | Problem Statement &amp; Response to Advisor Dr. Million Meshesha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