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8E69" w14:textId="77777777" w:rsidR="00CD6B54" w:rsidRDefault="00000000">
      <w:pPr>
        <w:pStyle w:val="CustomTitle"/>
      </w:pPr>
      <w:r>
        <w:t>Crowd Wisdom Trading Overview for the Week of June 03, 2025</w:t>
      </w:r>
    </w:p>
    <w:p w14:paraId="68D63DAA" w14:textId="77777777" w:rsidR="00CD6B54" w:rsidRDefault="00000000">
      <w:pPr>
        <w:pStyle w:val="CustomH1"/>
      </w:pPr>
      <w:r>
        <w:t>Weekly Market Predictions</w:t>
      </w:r>
    </w:p>
    <w:p w14:paraId="7E0895C5" w14:textId="77777777" w:rsidR="00CD6B54" w:rsidRDefault="00000000">
      <w:r>
        <w:t>S&amp;P 500: Bullish</w:t>
      </w:r>
    </w:p>
    <w:p w14:paraId="2A669FCD" w14:textId="77777777" w:rsidR="00CD6B54" w:rsidRDefault="00000000">
      <w:r>
        <w:t>NASDAQ: Bullish</w:t>
      </w:r>
    </w:p>
    <w:p w14:paraId="3E0D516A" w14:textId="77777777" w:rsidR="00CD6B54" w:rsidRDefault="00000000">
      <w:r>
        <w:t>DOW JONES: Neutral Bullish</w:t>
      </w:r>
    </w:p>
    <w:p w14:paraId="1FF93676" w14:textId="77777777" w:rsidR="00CD6B54" w:rsidRDefault="00000000">
      <w:r>
        <w:t>RUSSELL 2000: Bullish</w:t>
      </w:r>
    </w:p>
    <w:p w14:paraId="36AB165F" w14:textId="77777777" w:rsidR="00CD6B54" w:rsidRDefault="00000000">
      <w:pPr>
        <w:pStyle w:val="CustomH1"/>
      </w:pPr>
      <w:r>
        <w:t>CrowdWisdomTrading value</w:t>
      </w:r>
    </w:p>
    <w:p w14:paraId="5C861B9E" w14:textId="77777777" w:rsidR="00CD6B54" w:rsidRDefault="00000000">
      <w:r>
        <w:t>[Please refer directly to the exact unchanged CrowdWisdomTrading value section from Blog_Open_1, as instructed.]</w:t>
      </w:r>
    </w:p>
    <w:p w14:paraId="1FDE65D3" w14:textId="77777777" w:rsidR="00CD6B54" w:rsidRDefault="00000000">
      <w:pPr>
        <w:pStyle w:val="CustomH1"/>
      </w:pPr>
      <w:r>
        <w:t>Executive Summary</w:t>
      </w:r>
    </w:p>
    <w:p w14:paraId="31F518EF" w14:textId="44979E95" w:rsidR="00CD6B54" w:rsidRDefault="00000000">
      <w:r>
        <w:t xml:space="preserve">This week’s financial markets are poised for continued gains, supported by robust technical </w:t>
      </w:r>
    </w:p>
    <w:p w14:paraId="22CA5507" w14:textId="77777777" w:rsidR="00CD6B54" w:rsidRDefault="00000000">
      <w:pPr>
        <w:pStyle w:val="CustomH1"/>
      </w:pPr>
      <w:r>
        <w:t>Key Economic Events this week</w:t>
      </w:r>
    </w:p>
    <w:p w14:paraId="472CBCF8" w14:textId="07ABA475" w:rsidR="00CD6B54" w:rsidRDefault="00000000">
      <w:r>
        <w:t>This week’s economic calendar offers a significant array of risk events, with the focus on.</w:t>
      </w:r>
    </w:p>
    <w:p w14:paraId="1A5A3E41" w14:textId="77777777" w:rsidR="00CD6B54" w:rsidRDefault="00000000">
      <w:pPr>
        <w:pStyle w:val="CustomH1"/>
      </w:pPr>
      <w:r>
        <w:t>Main Earnings Reports this week</w:t>
      </w:r>
    </w:p>
    <w:p w14:paraId="1312F405" w14:textId="5ED0C650" w:rsidR="00CD6B54" w:rsidRDefault="00000000">
      <w:r>
        <w:t>Several high-profile earnings releases are set to move markets this week, particularly rotations spurred by new information.</w:t>
      </w:r>
    </w:p>
    <w:p w14:paraId="59282454" w14:textId="77777777" w:rsidR="00CD6B54" w:rsidRDefault="00000000">
      <w:pPr>
        <w:pStyle w:val="CustomH1"/>
      </w:pPr>
      <w:r>
        <w:t>Weekly Prediction for the Main Indexes</w:t>
      </w:r>
    </w:p>
    <w:p w14:paraId="7406936A" w14:textId="0A54D28B" w:rsidR="00CD6B54" w:rsidRDefault="00000000" w:rsidP="009B4ED9">
      <w:r>
        <w:t xml:space="preserve">The major U.S. stock indexes are set for a positive week, according to both technical and </w:t>
      </w:r>
    </w:p>
    <w:p w14:paraId="3B522EBD" w14:textId="77777777" w:rsidR="00CD6B54" w:rsidRDefault="00000000">
      <w:pPr>
        <w:pStyle w:val="CustomH1"/>
      </w:pPr>
      <w:r>
        <w:t>Technical Analysis and Market Insights</w:t>
      </w:r>
    </w:p>
    <w:p w14:paraId="5AD7CB6C" w14:textId="77777777" w:rsidR="00CD6B54" w:rsidRDefault="00000000">
      <w:pPr>
        <w:pStyle w:val="CustomH2"/>
      </w:pPr>
      <w:r>
        <w:t>Main Indexes:</w:t>
      </w:r>
    </w:p>
    <w:p w14:paraId="23A3C202" w14:textId="197DFD51" w:rsidR="009B4ED9" w:rsidRDefault="00000000" w:rsidP="009B4ED9">
      <w:r>
        <w:t xml:space="preserve">The S&amp;P 500 enters the week with support centered in the 5,660–5,675 zone, reinforced by </w:t>
      </w:r>
    </w:p>
    <w:p w14:paraId="5C567D0C" w14:textId="5929F958" w:rsidR="00CD6B54" w:rsidRDefault="00000000">
      <w:r>
        <w:t>reversals as early signs of distribution. Short-term breadth, as measured by the advance/decline line, remains supportive of trend continuation.</w:t>
      </w:r>
    </w:p>
    <w:p w14:paraId="7D0829A5" w14:textId="77777777" w:rsidR="00CD6B54" w:rsidRDefault="00000000">
      <w:pPr>
        <w:pStyle w:val="CustomH2"/>
      </w:pPr>
      <w:r>
        <w:t>Main Equities:</w:t>
      </w:r>
    </w:p>
    <w:p w14:paraId="3D329B8C" w14:textId="116BDDBA" w:rsidR="00CD6B54" w:rsidRDefault="00000000">
      <w:r>
        <w:t xml:space="preserve">Among leading equities, Nvidia continues to show strong upside momentum, maintaining its position above major moving averages, while recent volume surges confirm buyer </w:t>
      </w:r>
      <w:r>
        <w:lastRenderedPageBreak/>
        <w:t>conviction. Microsoft’s technical posture is constructive, leveraging AI-related tailwinds and accumulation.</w:t>
      </w:r>
    </w:p>
    <w:p w14:paraId="59862665" w14:textId="77777777" w:rsidR="00CD6B54" w:rsidRDefault="00000000">
      <w:pPr>
        <w:pStyle w:val="CustomH1"/>
      </w:pPr>
      <w:r>
        <w:t>Synthesized Levels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070"/>
        <w:gridCol w:w="1053"/>
        <w:gridCol w:w="1053"/>
        <w:gridCol w:w="1060"/>
        <w:gridCol w:w="1044"/>
        <w:gridCol w:w="1264"/>
        <w:gridCol w:w="1254"/>
      </w:tblGrid>
      <w:tr w:rsidR="00CD6B54" w14:paraId="3EA9CC31" w14:textId="77777777">
        <w:tc>
          <w:tcPr>
            <w:tcW w:w="1080" w:type="dxa"/>
          </w:tcPr>
          <w:p w14:paraId="0A7BD70C" w14:textId="77777777" w:rsidR="00CD6B54" w:rsidRDefault="00000000">
            <w:pPr>
              <w:jc w:val="center"/>
            </w:pPr>
            <w:r>
              <w:t>Asset</w:t>
            </w:r>
          </w:p>
        </w:tc>
        <w:tc>
          <w:tcPr>
            <w:tcW w:w="1080" w:type="dxa"/>
          </w:tcPr>
          <w:p w14:paraId="4BF59F7B" w14:textId="77777777" w:rsidR="00CD6B54" w:rsidRDefault="00000000">
            <w:pPr>
              <w:jc w:val="center"/>
            </w:pPr>
            <w:r>
              <w:t># Traders</w:t>
            </w:r>
          </w:p>
        </w:tc>
        <w:tc>
          <w:tcPr>
            <w:tcW w:w="1080" w:type="dxa"/>
          </w:tcPr>
          <w:p w14:paraId="28F40D66" w14:textId="77777777" w:rsidR="00CD6B54" w:rsidRDefault="00000000">
            <w:pPr>
              <w:jc w:val="center"/>
            </w:pPr>
            <w:r>
              <w:t>S1</w:t>
            </w:r>
          </w:p>
        </w:tc>
        <w:tc>
          <w:tcPr>
            <w:tcW w:w="1080" w:type="dxa"/>
          </w:tcPr>
          <w:p w14:paraId="35B2C21F" w14:textId="77777777" w:rsidR="00CD6B54" w:rsidRDefault="00000000">
            <w:pPr>
              <w:jc w:val="center"/>
            </w:pPr>
            <w:r>
              <w:t>R1</w:t>
            </w:r>
          </w:p>
        </w:tc>
        <w:tc>
          <w:tcPr>
            <w:tcW w:w="1080" w:type="dxa"/>
          </w:tcPr>
          <w:p w14:paraId="25CDDE5A" w14:textId="77777777" w:rsidR="00CD6B54" w:rsidRDefault="00000000">
            <w:pPr>
              <w:jc w:val="center"/>
            </w:pPr>
            <w:r>
              <w:t>Target 1</w:t>
            </w:r>
          </w:p>
        </w:tc>
        <w:tc>
          <w:tcPr>
            <w:tcW w:w="1080" w:type="dxa"/>
          </w:tcPr>
          <w:p w14:paraId="65D7FA49" w14:textId="77777777" w:rsidR="00CD6B54" w:rsidRDefault="00000000">
            <w:pPr>
              <w:jc w:val="center"/>
            </w:pPr>
            <w:r>
              <w:t>Stop</w:t>
            </w:r>
          </w:p>
        </w:tc>
        <w:tc>
          <w:tcPr>
            <w:tcW w:w="1080" w:type="dxa"/>
          </w:tcPr>
          <w:p w14:paraId="29A9A953" w14:textId="77777777" w:rsidR="00CD6B54" w:rsidRDefault="00000000">
            <w:pPr>
              <w:jc w:val="center"/>
            </w:pPr>
            <w:r>
              <w:t>Confidence</w:t>
            </w:r>
          </w:p>
        </w:tc>
        <w:tc>
          <w:tcPr>
            <w:tcW w:w="1080" w:type="dxa"/>
          </w:tcPr>
          <w:p w14:paraId="6CD190B8" w14:textId="77777777" w:rsidR="00CD6B54" w:rsidRDefault="00000000">
            <w:pPr>
              <w:jc w:val="center"/>
            </w:pPr>
            <w:r>
              <w:t>Timeframe</w:t>
            </w:r>
          </w:p>
        </w:tc>
      </w:tr>
      <w:tr w:rsidR="00CD6B54" w14:paraId="54408021" w14:textId="77777777">
        <w:tc>
          <w:tcPr>
            <w:tcW w:w="1080" w:type="dxa"/>
          </w:tcPr>
          <w:p w14:paraId="130B5CA1" w14:textId="77777777" w:rsidR="00CD6B54" w:rsidRDefault="00000000">
            <w:r>
              <w:t>SPY</w:t>
            </w:r>
          </w:p>
        </w:tc>
        <w:tc>
          <w:tcPr>
            <w:tcW w:w="1080" w:type="dxa"/>
          </w:tcPr>
          <w:p w14:paraId="35ED4463" w14:textId="77777777" w:rsidR="00CD6B54" w:rsidRDefault="00000000">
            <w:r>
              <w:t>28</w:t>
            </w:r>
          </w:p>
        </w:tc>
        <w:tc>
          <w:tcPr>
            <w:tcW w:w="1080" w:type="dxa"/>
          </w:tcPr>
          <w:p w14:paraId="6A6550C5" w14:textId="77777777" w:rsidR="00CD6B54" w:rsidRDefault="00000000">
            <w:r>
              <w:t>592</w:t>
            </w:r>
          </w:p>
        </w:tc>
        <w:tc>
          <w:tcPr>
            <w:tcW w:w="1080" w:type="dxa"/>
          </w:tcPr>
          <w:p w14:paraId="4BD8885B" w14:textId="77777777" w:rsidR="00CD6B54" w:rsidRDefault="00000000">
            <w:r>
              <w:t>605</w:t>
            </w:r>
          </w:p>
        </w:tc>
        <w:tc>
          <w:tcPr>
            <w:tcW w:w="1080" w:type="dxa"/>
          </w:tcPr>
          <w:p w14:paraId="4CF3EF63" w14:textId="77777777" w:rsidR="00CD6B54" w:rsidRDefault="00000000">
            <w:r>
              <w:t>610</w:t>
            </w:r>
          </w:p>
        </w:tc>
        <w:tc>
          <w:tcPr>
            <w:tcW w:w="1080" w:type="dxa"/>
          </w:tcPr>
          <w:p w14:paraId="45338B1F" w14:textId="77777777" w:rsidR="00CD6B54" w:rsidRDefault="00000000">
            <w:r>
              <w:t>588</w:t>
            </w:r>
          </w:p>
        </w:tc>
        <w:tc>
          <w:tcPr>
            <w:tcW w:w="1080" w:type="dxa"/>
          </w:tcPr>
          <w:p w14:paraId="656CFC27" w14:textId="77777777" w:rsidR="00CD6B54" w:rsidRDefault="00000000">
            <w:r>
              <w:t>8.73</w:t>
            </w:r>
          </w:p>
        </w:tc>
        <w:tc>
          <w:tcPr>
            <w:tcW w:w="1080" w:type="dxa"/>
          </w:tcPr>
          <w:p w14:paraId="2112407B" w14:textId="77777777" w:rsidR="00CD6B54" w:rsidRDefault="00000000">
            <w:r>
              <w:t>1W</w:t>
            </w:r>
          </w:p>
        </w:tc>
      </w:tr>
      <w:tr w:rsidR="00CD6B54" w14:paraId="0AC918DD" w14:textId="77777777">
        <w:tc>
          <w:tcPr>
            <w:tcW w:w="1080" w:type="dxa"/>
          </w:tcPr>
          <w:p w14:paraId="49805CD6" w14:textId="77777777" w:rsidR="00CD6B54" w:rsidRDefault="00000000">
            <w:r>
              <w:t>QQQ</w:t>
            </w:r>
          </w:p>
        </w:tc>
        <w:tc>
          <w:tcPr>
            <w:tcW w:w="1080" w:type="dxa"/>
          </w:tcPr>
          <w:p w14:paraId="5C765854" w14:textId="77777777" w:rsidR="00CD6B54" w:rsidRDefault="00000000">
            <w:r>
              <w:t>23</w:t>
            </w:r>
          </w:p>
        </w:tc>
        <w:tc>
          <w:tcPr>
            <w:tcW w:w="1080" w:type="dxa"/>
          </w:tcPr>
          <w:p w14:paraId="43277F82" w14:textId="77777777" w:rsidR="00CD6B54" w:rsidRDefault="00000000">
            <w:r>
              <w:t>515</w:t>
            </w:r>
          </w:p>
        </w:tc>
        <w:tc>
          <w:tcPr>
            <w:tcW w:w="1080" w:type="dxa"/>
          </w:tcPr>
          <w:p w14:paraId="5D5374C4" w14:textId="77777777" w:rsidR="00CD6B54" w:rsidRDefault="00000000">
            <w:r>
              <w:t>535</w:t>
            </w:r>
          </w:p>
        </w:tc>
        <w:tc>
          <w:tcPr>
            <w:tcW w:w="1080" w:type="dxa"/>
          </w:tcPr>
          <w:p w14:paraId="65B37B89" w14:textId="77777777" w:rsidR="00CD6B54" w:rsidRDefault="00000000">
            <w:r>
              <w:t>542</w:t>
            </w:r>
          </w:p>
        </w:tc>
        <w:tc>
          <w:tcPr>
            <w:tcW w:w="1080" w:type="dxa"/>
          </w:tcPr>
          <w:p w14:paraId="31972C09" w14:textId="77777777" w:rsidR="00CD6B54" w:rsidRDefault="00000000">
            <w:r>
              <w:t>509</w:t>
            </w:r>
          </w:p>
        </w:tc>
        <w:tc>
          <w:tcPr>
            <w:tcW w:w="1080" w:type="dxa"/>
          </w:tcPr>
          <w:p w14:paraId="0F811304" w14:textId="77777777" w:rsidR="00CD6B54" w:rsidRDefault="00000000">
            <w:r>
              <w:t>7.24</w:t>
            </w:r>
          </w:p>
        </w:tc>
        <w:tc>
          <w:tcPr>
            <w:tcW w:w="1080" w:type="dxa"/>
          </w:tcPr>
          <w:p w14:paraId="65C32757" w14:textId="77777777" w:rsidR="00CD6B54" w:rsidRDefault="00000000">
            <w:r>
              <w:t>1W</w:t>
            </w:r>
          </w:p>
        </w:tc>
      </w:tr>
      <w:tr w:rsidR="00CD6B54" w14:paraId="219C186D" w14:textId="77777777">
        <w:tc>
          <w:tcPr>
            <w:tcW w:w="1080" w:type="dxa"/>
          </w:tcPr>
          <w:p w14:paraId="5FCB8B1C" w14:textId="77777777" w:rsidR="00CD6B54" w:rsidRDefault="00000000">
            <w:r>
              <w:t>IWM</w:t>
            </w:r>
          </w:p>
        </w:tc>
        <w:tc>
          <w:tcPr>
            <w:tcW w:w="1080" w:type="dxa"/>
          </w:tcPr>
          <w:p w14:paraId="1EA48D30" w14:textId="77777777" w:rsidR="00CD6B54" w:rsidRDefault="00000000">
            <w:r>
              <w:t>17</w:t>
            </w:r>
          </w:p>
        </w:tc>
        <w:tc>
          <w:tcPr>
            <w:tcW w:w="1080" w:type="dxa"/>
          </w:tcPr>
          <w:p w14:paraId="29C92003" w14:textId="77777777" w:rsidR="00CD6B54" w:rsidRDefault="00000000">
            <w:r>
              <w:t>200</w:t>
            </w:r>
          </w:p>
        </w:tc>
        <w:tc>
          <w:tcPr>
            <w:tcW w:w="1080" w:type="dxa"/>
          </w:tcPr>
          <w:p w14:paraId="23DDE810" w14:textId="77777777" w:rsidR="00CD6B54" w:rsidRDefault="00000000">
            <w:r>
              <w:t>220</w:t>
            </w:r>
          </w:p>
        </w:tc>
        <w:tc>
          <w:tcPr>
            <w:tcW w:w="1080" w:type="dxa"/>
          </w:tcPr>
          <w:p w14:paraId="131C608B" w14:textId="77777777" w:rsidR="00CD6B54" w:rsidRDefault="00000000">
            <w:r>
              <w:t>224</w:t>
            </w:r>
          </w:p>
        </w:tc>
        <w:tc>
          <w:tcPr>
            <w:tcW w:w="1080" w:type="dxa"/>
          </w:tcPr>
          <w:p w14:paraId="42B066D9" w14:textId="77777777" w:rsidR="00CD6B54" w:rsidRDefault="00000000">
            <w:r>
              <w:t>198</w:t>
            </w:r>
          </w:p>
        </w:tc>
        <w:tc>
          <w:tcPr>
            <w:tcW w:w="1080" w:type="dxa"/>
          </w:tcPr>
          <w:p w14:paraId="04666F13" w14:textId="77777777" w:rsidR="00CD6B54" w:rsidRDefault="00000000">
            <w:r>
              <w:t>6.85</w:t>
            </w:r>
          </w:p>
        </w:tc>
        <w:tc>
          <w:tcPr>
            <w:tcW w:w="1080" w:type="dxa"/>
          </w:tcPr>
          <w:p w14:paraId="68BFD004" w14:textId="77777777" w:rsidR="00CD6B54" w:rsidRDefault="00000000">
            <w:r>
              <w:t>1W</w:t>
            </w:r>
          </w:p>
        </w:tc>
      </w:tr>
      <w:tr w:rsidR="00CD6B54" w14:paraId="03ED7685" w14:textId="77777777">
        <w:tc>
          <w:tcPr>
            <w:tcW w:w="1080" w:type="dxa"/>
          </w:tcPr>
          <w:p w14:paraId="7C61C172" w14:textId="77777777" w:rsidR="00CD6B54" w:rsidRDefault="00000000">
            <w:r>
              <w:t>NVDA</w:t>
            </w:r>
          </w:p>
        </w:tc>
        <w:tc>
          <w:tcPr>
            <w:tcW w:w="1080" w:type="dxa"/>
          </w:tcPr>
          <w:p w14:paraId="4D4726ED" w14:textId="77777777" w:rsidR="00CD6B54" w:rsidRDefault="00000000">
            <w:r>
              <w:t>24</w:t>
            </w:r>
          </w:p>
        </w:tc>
        <w:tc>
          <w:tcPr>
            <w:tcW w:w="1080" w:type="dxa"/>
          </w:tcPr>
          <w:p w14:paraId="3DAD3D52" w14:textId="77777777" w:rsidR="00CD6B54" w:rsidRDefault="00000000">
            <w:r>
              <w:t>1,000</w:t>
            </w:r>
          </w:p>
        </w:tc>
        <w:tc>
          <w:tcPr>
            <w:tcW w:w="1080" w:type="dxa"/>
          </w:tcPr>
          <w:p w14:paraId="3A1649DB" w14:textId="77777777" w:rsidR="00CD6B54" w:rsidRDefault="00000000">
            <w:r>
              <w:t>1,150</w:t>
            </w:r>
          </w:p>
        </w:tc>
        <w:tc>
          <w:tcPr>
            <w:tcW w:w="1080" w:type="dxa"/>
          </w:tcPr>
          <w:p w14:paraId="041C32F3" w14:textId="77777777" w:rsidR="00CD6B54" w:rsidRDefault="00000000">
            <w:r>
              <w:t>1,180</w:t>
            </w:r>
          </w:p>
        </w:tc>
        <w:tc>
          <w:tcPr>
            <w:tcW w:w="1080" w:type="dxa"/>
          </w:tcPr>
          <w:p w14:paraId="48DB4654" w14:textId="77777777" w:rsidR="00CD6B54" w:rsidRDefault="00000000">
            <w:r>
              <w:t>985</w:t>
            </w:r>
          </w:p>
        </w:tc>
        <w:tc>
          <w:tcPr>
            <w:tcW w:w="1080" w:type="dxa"/>
          </w:tcPr>
          <w:p w14:paraId="1F25EB3F" w14:textId="77777777" w:rsidR="00CD6B54" w:rsidRDefault="00000000">
            <w:r>
              <w:t>7.14</w:t>
            </w:r>
          </w:p>
        </w:tc>
        <w:tc>
          <w:tcPr>
            <w:tcW w:w="1080" w:type="dxa"/>
          </w:tcPr>
          <w:p w14:paraId="0CBE847D" w14:textId="77777777" w:rsidR="00CD6B54" w:rsidRDefault="00000000">
            <w:r>
              <w:t>1W</w:t>
            </w:r>
          </w:p>
        </w:tc>
      </w:tr>
      <w:tr w:rsidR="00CD6B54" w14:paraId="33B2AA13" w14:textId="77777777">
        <w:tc>
          <w:tcPr>
            <w:tcW w:w="1080" w:type="dxa"/>
          </w:tcPr>
          <w:p w14:paraId="47E88E41" w14:textId="77777777" w:rsidR="00CD6B54" w:rsidRDefault="00000000">
            <w:r>
              <w:t>META</w:t>
            </w:r>
          </w:p>
        </w:tc>
        <w:tc>
          <w:tcPr>
            <w:tcW w:w="1080" w:type="dxa"/>
          </w:tcPr>
          <w:p w14:paraId="3FA62775" w14:textId="77777777" w:rsidR="00CD6B54" w:rsidRDefault="00000000">
            <w:r>
              <w:t>15</w:t>
            </w:r>
          </w:p>
        </w:tc>
        <w:tc>
          <w:tcPr>
            <w:tcW w:w="1080" w:type="dxa"/>
          </w:tcPr>
          <w:p w14:paraId="64449728" w14:textId="77777777" w:rsidR="00CD6B54" w:rsidRDefault="00000000">
            <w:r>
              <w:t>444</w:t>
            </w:r>
          </w:p>
        </w:tc>
        <w:tc>
          <w:tcPr>
            <w:tcW w:w="1080" w:type="dxa"/>
          </w:tcPr>
          <w:p w14:paraId="3667C9B3" w14:textId="77777777" w:rsidR="00CD6B54" w:rsidRDefault="00000000">
            <w:r>
              <w:t>470</w:t>
            </w:r>
          </w:p>
        </w:tc>
        <w:tc>
          <w:tcPr>
            <w:tcW w:w="1080" w:type="dxa"/>
          </w:tcPr>
          <w:p w14:paraId="46B1AEA5" w14:textId="77777777" w:rsidR="00CD6B54" w:rsidRDefault="00000000">
            <w:r>
              <w:t>480</w:t>
            </w:r>
          </w:p>
        </w:tc>
        <w:tc>
          <w:tcPr>
            <w:tcW w:w="1080" w:type="dxa"/>
          </w:tcPr>
          <w:p w14:paraId="2985C8E2" w14:textId="77777777" w:rsidR="00CD6B54" w:rsidRDefault="00000000">
            <w:r>
              <w:t>440</w:t>
            </w:r>
          </w:p>
        </w:tc>
        <w:tc>
          <w:tcPr>
            <w:tcW w:w="1080" w:type="dxa"/>
          </w:tcPr>
          <w:p w14:paraId="0C7850E2" w14:textId="77777777" w:rsidR="00CD6B54" w:rsidRDefault="00000000">
            <w:r>
              <w:t>6.95</w:t>
            </w:r>
          </w:p>
        </w:tc>
        <w:tc>
          <w:tcPr>
            <w:tcW w:w="1080" w:type="dxa"/>
          </w:tcPr>
          <w:p w14:paraId="7EC3AC37" w14:textId="77777777" w:rsidR="00CD6B54" w:rsidRDefault="00000000">
            <w:r>
              <w:t>1W</w:t>
            </w:r>
          </w:p>
        </w:tc>
      </w:tr>
      <w:tr w:rsidR="00CD6B54" w14:paraId="0AE7BB9E" w14:textId="77777777">
        <w:tc>
          <w:tcPr>
            <w:tcW w:w="1080" w:type="dxa"/>
          </w:tcPr>
          <w:p w14:paraId="68336A8D" w14:textId="77777777" w:rsidR="00CD6B54" w:rsidRDefault="00000000">
            <w:r>
              <w:t>XLF</w:t>
            </w:r>
          </w:p>
        </w:tc>
        <w:tc>
          <w:tcPr>
            <w:tcW w:w="1080" w:type="dxa"/>
          </w:tcPr>
          <w:p w14:paraId="178B8049" w14:textId="77777777" w:rsidR="00CD6B54" w:rsidRDefault="00000000">
            <w:r>
              <w:t>10</w:t>
            </w:r>
          </w:p>
        </w:tc>
        <w:tc>
          <w:tcPr>
            <w:tcW w:w="1080" w:type="dxa"/>
          </w:tcPr>
          <w:p w14:paraId="5DC53AEC" w14:textId="77777777" w:rsidR="00CD6B54" w:rsidRDefault="00000000">
            <w:r>
              <w:t>36</w:t>
            </w:r>
          </w:p>
        </w:tc>
        <w:tc>
          <w:tcPr>
            <w:tcW w:w="1080" w:type="dxa"/>
          </w:tcPr>
          <w:p w14:paraId="727257BB" w14:textId="77777777" w:rsidR="00CD6B54" w:rsidRDefault="00000000">
            <w:r>
              <w:t>39</w:t>
            </w:r>
          </w:p>
        </w:tc>
        <w:tc>
          <w:tcPr>
            <w:tcW w:w="1080" w:type="dxa"/>
          </w:tcPr>
          <w:p w14:paraId="279CA5A2" w14:textId="77777777" w:rsidR="00CD6B54" w:rsidRDefault="00000000">
            <w:r>
              <w:t>39.8</w:t>
            </w:r>
          </w:p>
        </w:tc>
        <w:tc>
          <w:tcPr>
            <w:tcW w:w="1080" w:type="dxa"/>
          </w:tcPr>
          <w:p w14:paraId="3F8B05B4" w14:textId="77777777" w:rsidR="00CD6B54" w:rsidRDefault="00000000">
            <w:r>
              <w:t>35.5</w:t>
            </w:r>
          </w:p>
        </w:tc>
        <w:tc>
          <w:tcPr>
            <w:tcW w:w="1080" w:type="dxa"/>
          </w:tcPr>
          <w:p w14:paraId="536699AA" w14:textId="77777777" w:rsidR="00CD6B54" w:rsidRDefault="00000000">
            <w:r>
              <w:t>6.21</w:t>
            </w:r>
          </w:p>
        </w:tc>
        <w:tc>
          <w:tcPr>
            <w:tcW w:w="1080" w:type="dxa"/>
          </w:tcPr>
          <w:p w14:paraId="2221EF58" w14:textId="77777777" w:rsidR="00CD6B54" w:rsidRDefault="00000000">
            <w:r>
              <w:t>1W</w:t>
            </w:r>
          </w:p>
        </w:tc>
      </w:tr>
      <w:tr w:rsidR="00CD6B54" w14:paraId="4463B774" w14:textId="77777777">
        <w:tc>
          <w:tcPr>
            <w:tcW w:w="1080" w:type="dxa"/>
          </w:tcPr>
          <w:p w14:paraId="77155C29" w14:textId="77777777" w:rsidR="00CD6B54" w:rsidRDefault="00000000">
            <w:r>
              <w:t>KRE</w:t>
            </w:r>
          </w:p>
        </w:tc>
        <w:tc>
          <w:tcPr>
            <w:tcW w:w="1080" w:type="dxa"/>
          </w:tcPr>
          <w:p w14:paraId="097D80D7" w14:textId="77777777" w:rsidR="00CD6B54" w:rsidRDefault="00000000">
            <w:r>
              <w:t>8</w:t>
            </w:r>
          </w:p>
        </w:tc>
        <w:tc>
          <w:tcPr>
            <w:tcW w:w="1080" w:type="dxa"/>
          </w:tcPr>
          <w:p w14:paraId="2EC479F8" w14:textId="77777777" w:rsidR="00CD6B54" w:rsidRDefault="00000000">
            <w:r>
              <w:t>46</w:t>
            </w:r>
          </w:p>
        </w:tc>
        <w:tc>
          <w:tcPr>
            <w:tcW w:w="1080" w:type="dxa"/>
          </w:tcPr>
          <w:p w14:paraId="4287EBF8" w14:textId="77777777" w:rsidR="00CD6B54" w:rsidRDefault="00000000">
            <w:r>
              <w:t>53</w:t>
            </w:r>
          </w:p>
        </w:tc>
        <w:tc>
          <w:tcPr>
            <w:tcW w:w="1080" w:type="dxa"/>
          </w:tcPr>
          <w:p w14:paraId="737470DE" w14:textId="77777777" w:rsidR="00CD6B54" w:rsidRDefault="00000000">
            <w:r>
              <w:t>54.2</w:t>
            </w:r>
          </w:p>
        </w:tc>
        <w:tc>
          <w:tcPr>
            <w:tcW w:w="1080" w:type="dxa"/>
          </w:tcPr>
          <w:p w14:paraId="551AE471" w14:textId="77777777" w:rsidR="00CD6B54" w:rsidRDefault="00000000">
            <w:r>
              <w:t>45.8</w:t>
            </w:r>
          </w:p>
        </w:tc>
        <w:tc>
          <w:tcPr>
            <w:tcW w:w="1080" w:type="dxa"/>
          </w:tcPr>
          <w:p w14:paraId="03BA9D32" w14:textId="77777777" w:rsidR="00CD6B54" w:rsidRDefault="00000000">
            <w:r>
              <w:t>5.40</w:t>
            </w:r>
          </w:p>
        </w:tc>
        <w:tc>
          <w:tcPr>
            <w:tcW w:w="1080" w:type="dxa"/>
          </w:tcPr>
          <w:p w14:paraId="292D27FC" w14:textId="77777777" w:rsidR="00CD6B54" w:rsidRDefault="00000000">
            <w:r>
              <w:t>1W</w:t>
            </w:r>
          </w:p>
        </w:tc>
      </w:tr>
      <w:tr w:rsidR="00CD6B54" w14:paraId="1B487193" w14:textId="77777777">
        <w:tc>
          <w:tcPr>
            <w:tcW w:w="1080" w:type="dxa"/>
          </w:tcPr>
          <w:p w14:paraId="4081ACDD" w14:textId="77777777" w:rsidR="00CD6B54" w:rsidRDefault="00000000">
            <w:r>
              <w:t>LYFT</w:t>
            </w:r>
          </w:p>
        </w:tc>
        <w:tc>
          <w:tcPr>
            <w:tcW w:w="1080" w:type="dxa"/>
          </w:tcPr>
          <w:p w14:paraId="49D17E50" w14:textId="77777777" w:rsidR="00CD6B54" w:rsidRDefault="00000000">
            <w:r>
              <w:t>7</w:t>
            </w:r>
          </w:p>
        </w:tc>
        <w:tc>
          <w:tcPr>
            <w:tcW w:w="1080" w:type="dxa"/>
          </w:tcPr>
          <w:p w14:paraId="04E7AFB6" w14:textId="77777777" w:rsidR="00CD6B54" w:rsidRDefault="00000000">
            <w:r>
              <w:t>15.7</w:t>
            </w:r>
          </w:p>
        </w:tc>
        <w:tc>
          <w:tcPr>
            <w:tcW w:w="1080" w:type="dxa"/>
          </w:tcPr>
          <w:p w14:paraId="474C9B21" w14:textId="77777777" w:rsidR="00CD6B54" w:rsidRDefault="00000000">
            <w:r>
              <w:t>17</w:t>
            </w:r>
          </w:p>
        </w:tc>
        <w:tc>
          <w:tcPr>
            <w:tcW w:w="1080" w:type="dxa"/>
          </w:tcPr>
          <w:p w14:paraId="60E81BCD" w14:textId="77777777" w:rsidR="00CD6B54" w:rsidRDefault="00000000">
            <w:r>
              <w:t>18.8</w:t>
            </w:r>
          </w:p>
        </w:tc>
        <w:tc>
          <w:tcPr>
            <w:tcW w:w="1080" w:type="dxa"/>
          </w:tcPr>
          <w:p w14:paraId="437F6702" w14:textId="77777777" w:rsidR="00CD6B54" w:rsidRDefault="00000000">
            <w:r>
              <w:t>15.2</w:t>
            </w:r>
          </w:p>
        </w:tc>
        <w:tc>
          <w:tcPr>
            <w:tcW w:w="1080" w:type="dxa"/>
          </w:tcPr>
          <w:p w14:paraId="099F81E9" w14:textId="77777777" w:rsidR="00CD6B54" w:rsidRDefault="00000000">
            <w:r>
              <w:t>5.90</w:t>
            </w:r>
          </w:p>
        </w:tc>
        <w:tc>
          <w:tcPr>
            <w:tcW w:w="1080" w:type="dxa"/>
          </w:tcPr>
          <w:p w14:paraId="47477460" w14:textId="77777777" w:rsidR="00CD6B54" w:rsidRDefault="00000000">
            <w:r>
              <w:t>1W</w:t>
            </w:r>
          </w:p>
        </w:tc>
      </w:tr>
      <w:tr w:rsidR="00CD6B54" w14:paraId="717A3D33" w14:textId="77777777">
        <w:tc>
          <w:tcPr>
            <w:tcW w:w="1080" w:type="dxa"/>
          </w:tcPr>
          <w:p w14:paraId="4539E10E" w14:textId="77777777" w:rsidR="00CD6B54" w:rsidRDefault="00000000">
            <w:r>
              <w:t>XOM</w:t>
            </w:r>
          </w:p>
        </w:tc>
        <w:tc>
          <w:tcPr>
            <w:tcW w:w="1080" w:type="dxa"/>
          </w:tcPr>
          <w:p w14:paraId="587BA8F5" w14:textId="77777777" w:rsidR="00CD6B54" w:rsidRDefault="00000000">
            <w:r>
              <w:t>12</w:t>
            </w:r>
          </w:p>
        </w:tc>
        <w:tc>
          <w:tcPr>
            <w:tcW w:w="1080" w:type="dxa"/>
          </w:tcPr>
          <w:p w14:paraId="1B0D94CD" w14:textId="77777777" w:rsidR="00CD6B54" w:rsidRDefault="00000000">
            <w:r>
              <w:t>105</w:t>
            </w:r>
          </w:p>
        </w:tc>
        <w:tc>
          <w:tcPr>
            <w:tcW w:w="1080" w:type="dxa"/>
          </w:tcPr>
          <w:p w14:paraId="73122F1F" w14:textId="77777777" w:rsidR="00CD6B54" w:rsidRDefault="00000000">
            <w:r>
              <w:t>117</w:t>
            </w:r>
          </w:p>
        </w:tc>
        <w:tc>
          <w:tcPr>
            <w:tcW w:w="1080" w:type="dxa"/>
          </w:tcPr>
          <w:p w14:paraId="1BA6B060" w14:textId="77777777" w:rsidR="00CD6B54" w:rsidRDefault="00000000">
            <w:r>
              <w:t>120</w:t>
            </w:r>
          </w:p>
        </w:tc>
        <w:tc>
          <w:tcPr>
            <w:tcW w:w="1080" w:type="dxa"/>
          </w:tcPr>
          <w:p w14:paraId="64C90CF1" w14:textId="77777777" w:rsidR="00CD6B54" w:rsidRDefault="00000000">
            <w:r>
              <w:t>104</w:t>
            </w:r>
          </w:p>
        </w:tc>
        <w:tc>
          <w:tcPr>
            <w:tcW w:w="1080" w:type="dxa"/>
          </w:tcPr>
          <w:p w14:paraId="100270FD" w14:textId="77777777" w:rsidR="00CD6B54" w:rsidRDefault="00000000">
            <w:r>
              <w:t>5.77</w:t>
            </w:r>
          </w:p>
        </w:tc>
        <w:tc>
          <w:tcPr>
            <w:tcW w:w="1080" w:type="dxa"/>
          </w:tcPr>
          <w:p w14:paraId="48B561EB" w14:textId="77777777" w:rsidR="00CD6B54" w:rsidRDefault="00000000">
            <w:r>
              <w:t>1W</w:t>
            </w:r>
          </w:p>
        </w:tc>
      </w:tr>
    </w:tbl>
    <w:p w14:paraId="798ABCA5" w14:textId="77777777" w:rsidR="00CD6B54" w:rsidRDefault="00CD6B54"/>
    <w:p w14:paraId="5A73EE2A" w14:textId="77777777" w:rsidR="00CD6B54" w:rsidRDefault="00000000">
      <w:r>
        <w:t>The synthesized levels are calculated using a proprietary model that aggregates the collective wisdom of professionals for each asset. The more experts that reference a particular level, the more significant it becomes.</w:t>
      </w:r>
    </w:p>
    <w:p w14:paraId="2C84B493" w14:textId="77777777" w:rsidR="00CD6B54" w:rsidRDefault="00000000">
      <w:pPr>
        <w:pStyle w:val="CustomH1"/>
      </w:pPr>
      <w:r>
        <w:t>Insights on Equities</w:t>
      </w:r>
    </w:p>
    <w:p w14:paraId="7A1033C8" w14:textId="7225DF1E" w:rsidR="00CD6B54" w:rsidRDefault="00000000" w:rsidP="009B4ED9">
      <w:r>
        <w:t xml:space="preserve">This week’s equity analysis spotlights several key performers across sectors, drawing on </w:t>
      </w:r>
    </w:p>
    <w:p w14:paraId="5A9F6B54" w14:textId="77777777" w:rsidR="00CD6B54" w:rsidRDefault="00000000">
      <w:r>
        <w:t>[Original grab summary from all_symbol_posts.txt]</w:t>
      </w:r>
    </w:p>
    <w:p w14:paraId="683EE66F" w14:textId="31ED64BB" w:rsidR="00CD6B54" w:rsidRDefault="00000000" w:rsidP="009B4ED9">
      <w:r>
        <w:t>GRAB: After a multi-month basing period, Grab Holdings (GRAB) has now cleared short-</w:t>
      </w:r>
    </w:p>
    <w:p w14:paraId="501B2D3B" w14:textId="77777777" w:rsidR="00CD6B54" w:rsidRDefault="00000000">
      <w:pPr>
        <w:pStyle w:val="CustomH1"/>
      </w:pPr>
      <w:r>
        <w:t>Sector Analysis</w:t>
      </w:r>
    </w:p>
    <w:p w14:paraId="3DA30268" w14:textId="77777777" w:rsidR="00CD6B54" w:rsidRDefault="00000000">
      <w:pPr>
        <w:pStyle w:val="CustomH2"/>
      </w:pPr>
      <w:r>
        <w:t>Technology Sector:</w:t>
      </w:r>
    </w:p>
    <w:p w14:paraId="31A01EAF" w14:textId="7B3E23E2" w:rsidR="00CD6B54" w:rsidRDefault="00000000" w:rsidP="009B4ED9">
      <w:r>
        <w:t xml:space="preserve">A powerful surge in AI-related investments continues to drive capital flows into top names. Technical setups feature strong momentum readings, propelled by positive earnings </w:t>
      </w:r>
    </w:p>
    <w:p w14:paraId="66C5DD50" w14:textId="77777777" w:rsidR="00CD6B54" w:rsidRDefault="00000000">
      <w:pPr>
        <w:pStyle w:val="CustomH2"/>
      </w:pPr>
      <w:r>
        <w:t>Financial Sector:</w:t>
      </w:r>
    </w:p>
    <w:p w14:paraId="4FC839AD" w14:textId="19F3A005" w:rsidR="00CD6B54" w:rsidRDefault="00000000" w:rsidP="009B4ED9">
      <w:r>
        <w:t xml:space="preserve">Yield curve normalization is providing a firmer foundation for large-cap banks, while </w:t>
      </w:r>
    </w:p>
    <w:p w14:paraId="4F59861A" w14:textId="77777777" w:rsidR="00CD6B54" w:rsidRDefault="00000000">
      <w:pPr>
        <w:pStyle w:val="CustomH2"/>
      </w:pPr>
      <w:r>
        <w:t>Consumer Discretionary Sector:</w:t>
      </w:r>
    </w:p>
    <w:p w14:paraId="387A6EA2" w14:textId="324EB0AA" w:rsidR="00CD6B54" w:rsidRDefault="00000000" w:rsidP="009B4ED9">
      <w:r>
        <w:t xml:space="preserve">Post-pandemic demand, coupled with robust holiday spending, is keeping retail-focused </w:t>
      </w:r>
    </w:p>
    <w:p w14:paraId="4BF318DD" w14:textId="77777777" w:rsidR="00CD6B54" w:rsidRDefault="00000000">
      <w:pPr>
        <w:pStyle w:val="CustomH2"/>
      </w:pPr>
      <w:r>
        <w:t>Energy Sector:</w:t>
      </w:r>
    </w:p>
    <w:p w14:paraId="480DB239" w14:textId="2EE9971E" w:rsidR="00CD6B54" w:rsidRDefault="00000000">
      <w:r>
        <w:t xml:space="preserve">Heightened geopolitical tensions and supply constraints are underpinning short-term rallies in oil and gas equities, with technical indicators suggesting breakout potential if </w:t>
      </w:r>
    </w:p>
    <w:p w14:paraId="507B09AD" w14:textId="77777777" w:rsidR="00CD6B54" w:rsidRDefault="00000000">
      <w:pPr>
        <w:pStyle w:val="CustomH2"/>
      </w:pPr>
      <w:r>
        <w:lastRenderedPageBreak/>
        <w:t>Comprehensive Technical Overview:</w:t>
      </w:r>
    </w:p>
    <w:p w14:paraId="1B2F0AF1" w14:textId="5257316A" w:rsidR="00CD6B54" w:rsidRDefault="00000000" w:rsidP="009B4ED9">
      <w:r>
        <w:t xml:space="preserve">Inter-sector analyses highlight a positive correlation between technology and discretionary </w:t>
      </w:r>
    </w:p>
    <w:p w14:paraId="76C371E6" w14:textId="77777777" w:rsidR="00CD6B54" w:rsidRDefault="00000000">
      <w:pPr>
        <w:pStyle w:val="CustomH1"/>
      </w:pPr>
      <w:r>
        <w:t>Sentiment Analysis</w:t>
      </w:r>
    </w:p>
    <w:p w14:paraId="42F58728" w14:textId="760F8F57" w:rsidR="00CD6B54" w:rsidRDefault="00000000" w:rsidP="009B4ED9">
      <w:r>
        <w:t xml:space="preserve">Market sentiment remains upbeat, with crowd-sourced indicators pointing to cautious </w:t>
      </w:r>
    </w:p>
    <w:p w14:paraId="604ED415" w14:textId="4DFAE2A8" w:rsidR="00CD6B54" w:rsidRDefault="00000000">
      <w:r>
        <w:t>To calculate market sentiment, proprietary models synthesize order flow, options data, trading volumes, and social sentiment signals. These components are weighted based on.</w:t>
      </w:r>
    </w:p>
    <w:p w14:paraId="4B2B1F91" w14:textId="77777777" w:rsidR="00CD6B54" w:rsidRDefault="00000000">
      <w:pPr>
        <w:pStyle w:val="CustomH1"/>
      </w:pPr>
      <w:r>
        <w:t>Options Analysis</w:t>
      </w:r>
    </w:p>
    <w:p w14:paraId="5066D3C5" w14:textId="3002424D" w:rsidR="00CD6B54" w:rsidRDefault="00000000">
      <w:r>
        <w:t>Options data this week provides robust confirmation of the market’s bullish undertone. For provide critical context for tactical and strategic decisions this week.</w:t>
      </w:r>
    </w:p>
    <w:p w14:paraId="13D6FB18" w14:textId="77777777" w:rsidR="00CD6B54" w:rsidRDefault="00000000">
      <w:pPr>
        <w:pStyle w:val="CustomH1"/>
      </w:pPr>
      <w:r>
        <w:t>What to Look for This Week?</w:t>
      </w:r>
    </w:p>
    <w:p w14:paraId="396B88FB" w14:textId="77777777" w:rsidR="00CD6B54" w:rsidRDefault="00000000">
      <w:pPr>
        <w:pStyle w:val="CustomH2"/>
      </w:pPr>
      <w:r>
        <w:t>Key Market Drivers:</w:t>
      </w:r>
    </w:p>
    <w:p w14:paraId="6D72E70A" w14:textId="61B660A8" w:rsidR="00CD6B54" w:rsidRDefault="00000000">
      <w:r>
        <w:t>Central to this week’s outlook are policy implications from Federal Reserve remarks and the and risk-reward opportunities.</w:t>
      </w:r>
    </w:p>
    <w:p w14:paraId="6C164D03" w14:textId="77777777" w:rsidR="00CD6B54" w:rsidRDefault="00000000">
      <w:pPr>
        <w:pStyle w:val="CustomH2"/>
      </w:pPr>
      <w:r>
        <w:t>Risk Monitoring:</w:t>
      </w:r>
    </w:p>
    <w:p w14:paraId="2E9558F6" w14:textId="2CA70152" w:rsidR="00CD6B54" w:rsidRDefault="00000000">
      <w:r>
        <w:t>Expectations for heightened volatility amid reduced market volume call for disciplined gap risk management and conservative position sizing. Sector rotation—particularly the move price levels.</w:t>
      </w:r>
    </w:p>
    <w:p w14:paraId="3282AC5C" w14:textId="77777777" w:rsidR="00CD6B54" w:rsidRDefault="00000000">
      <w:pPr>
        <w:pStyle w:val="CustomH2"/>
      </w:pPr>
      <w:r>
        <w:t>Strategic Considerations:</w:t>
      </w:r>
    </w:p>
    <w:p w14:paraId="5A1B1AD7" w14:textId="1DEA7D09" w:rsidR="00CD6B54" w:rsidRDefault="00000000">
      <w:r>
        <w:t>Traders should tailor position sizes to account for increased risk during holiday sessions and dynamic allocation will be essential for sustained performance.</w:t>
      </w:r>
    </w:p>
    <w:p w14:paraId="5CE186A4" w14:textId="77777777" w:rsidR="00CD6B54" w:rsidRDefault="00000000">
      <w:pPr>
        <w:pStyle w:val="CustomH1"/>
      </w:pPr>
      <w:r>
        <w:t>About Crowd Wisdom Trading:</w:t>
      </w:r>
    </w:p>
    <w:p w14:paraId="52F727EE" w14:textId="47CB785E" w:rsidR="00CD6B54" w:rsidRDefault="00000000">
      <w:pPr>
        <w:pStyle w:val="FixedContent"/>
      </w:pPr>
      <w:r>
        <w:t>At Crowd Wisdom Trading, we believe in the power of collective market intelligence. Our hours of content to bring you concentrated, actionable market insights.</w:t>
      </w:r>
    </w:p>
    <w:p w14:paraId="6EC3B3F1" w14:textId="77777777" w:rsidR="00CD6B54" w:rsidRDefault="00000000">
      <w:pPr>
        <w:pStyle w:val="CustomH1"/>
      </w:pPr>
      <w:r>
        <w:t>About the author:</w:t>
      </w:r>
    </w:p>
    <w:p w14:paraId="64DB26A0" w14:textId="63D58D88" w:rsidR="00CD6B54" w:rsidRDefault="00000000">
      <w:pPr>
        <w:pStyle w:val="FixedContent"/>
      </w:pPr>
      <w:r>
        <w:t>Gilad Bar-Ilan is the founder of Crowd Wisdom Trading and a seasoned algorithmic trader. comprehensive market analysis.</w:t>
      </w:r>
    </w:p>
    <w:p w14:paraId="4665AE8D" w14:textId="77777777" w:rsidR="00CD6B54" w:rsidRDefault="00000000">
      <w:pPr>
        <w:pStyle w:val="CustomH1"/>
      </w:pPr>
      <w:r>
        <w:t>Legal Disclaimer:</w:t>
      </w:r>
    </w:p>
    <w:p w14:paraId="45E63CAD" w14:textId="12A37D04" w:rsidR="00CD6B54" w:rsidRDefault="00000000">
      <w:pPr>
        <w:pStyle w:val="FixedContent"/>
      </w:pPr>
      <w:r>
        <w:t xml:space="preserve">The content provided in this blog post is for informational purposes only and should not be </w:t>
      </w:r>
    </w:p>
    <w:sectPr w:rsidR="00CD6B54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8B3B" w14:textId="77777777" w:rsidR="00443EFB" w:rsidRDefault="00443EFB">
      <w:pPr>
        <w:spacing w:after="0"/>
      </w:pPr>
      <w:r>
        <w:separator/>
      </w:r>
    </w:p>
  </w:endnote>
  <w:endnote w:type="continuationSeparator" w:id="0">
    <w:p w14:paraId="726C99DA" w14:textId="77777777" w:rsidR="00443EFB" w:rsidRDefault="00443E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55B8" w14:textId="77777777" w:rsidR="00CD6B54" w:rsidRDefault="00000000">
    <w:pPr>
      <w:pStyle w:val="Footer"/>
      <w:jc w:val="center"/>
    </w:pPr>
    <w:r>
      <w:rPr>
        <w:sz w:val="20"/>
      </w:rPr>
      <w:t>Insights of the best traders altogether in a single place</w:t>
    </w:r>
    <w:r>
      <w:rPr>
        <w:sz w:val="20"/>
      </w:rPr>
      <w:br/>
      <w:t>http://www.crowdwisdomtrading.com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9DC2" w14:textId="77777777" w:rsidR="00443EFB" w:rsidRDefault="00443EFB">
      <w:pPr>
        <w:spacing w:after="0"/>
      </w:pPr>
      <w:r>
        <w:separator/>
      </w:r>
    </w:p>
  </w:footnote>
  <w:footnote w:type="continuationSeparator" w:id="0">
    <w:p w14:paraId="2D09CDB1" w14:textId="77777777" w:rsidR="00443EFB" w:rsidRDefault="00443E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80029">
    <w:abstractNumId w:val="8"/>
  </w:num>
  <w:num w:numId="2" w16cid:durableId="17246140">
    <w:abstractNumId w:val="6"/>
  </w:num>
  <w:num w:numId="3" w16cid:durableId="447044723">
    <w:abstractNumId w:val="5"/>
  </w:num>
  <w:num w:numId="4" w16cid:durableId="1809739742">
    <w:abstractNumId w:val="4"/>
  </w:num>
  <w:num w:numId="5" w16cid:durableId="533930744">
    <w:abstractNumId w:val="7"/>
  </w:num>
  <w:num w:numId="6" w16cid:durableId="461466576">
    <w:abstractNumId w:val="3"/>
  </w:num>
  <w:num w:numId="7" w16cid:durableId="2012483079">
    <w:abstractNumId w:val="2"/>
  </w:num>
  <w:num w:numId="8" w16cid:durableId="849560279">
    <w:abstractNumId w:val="1"/>
  </w:num>
  <w:num w:numId="9" w16cid:durableId="17773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EFB"/>
    <w:rsid w:val="00572957"/>
    <w:rsid w:val="009B4ED9"/>
    <w:rsid w:val="00AA1D8D"/>
    <w:rsid w:val="00B47730"/>
    <w:rsid w:val="00CB0664"/>
    <w:rsid w:val="00CD6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AE8A9"/>
  <w14:defaultImageDpi w14:val="300"/>
  <w15:docId w15:val="{C2DE11BF-C2E5-4FE5-A528-720AB1A4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b/>
      <w:color w:val="003366"/>
      <w:sz w:val="48"/>
    </w:rPr>
  </w:style>
  <w:style w:type="paragraph" w:customStyle="1" w:styleId="CustomH1">
    <w:name w:val="CustomH1"/>
    <w:pPr>
      <w:spacing w:before="240" w:after="120"/>
    </w:pPr>
    <w:rPr>
      <w:b/>
      <w:color w:val="003366"/>
      <w:sz w:val="32"/>
    </w:rPr>
  </w:style>
  <w:style w:type="paragraph" w:customStyle="1" w:styleId="CustomH2">
    <w:name w:val="CustomH2"/>
    <w:pPr>
      <w:spacing w:before="200" w:after="80"/>
    </w:pPr>
    <w:rPr>
      <w:b/>
      <w:color w:val="003366"/>
    </w:rPr>
  </w:style>
  <w:style w:type="paragraph" w:customStyle="1" w:styleId="CustomH3">
    <w:name w:val="CustomH3"/>
    <w:pPr>
      <w:spacing w:before="160" w:after="80"/>
      <w:ind w:left="360"/>
    </w:pPr>
    <w:rPr>
      <w:b/>
      <w:color w:val="003366"/>
      <w:sz w:val="24"/>
    </w:rPr>
  </w:style>
  <w:style w:type="paragraph" w:customStyle="1" w:styleId="FixedContent">
    <w:name w:val="FixedContent"/>
    <w:pPr>
      <w:spacing w:after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Anish Bonde</cp:lastModifiedBy>
  <cp:revision>2</cp:revision>
  <dcterms:created xsi:type="dcterms:W3CDTF">2013-12-23T23:15:00Z</dcterms:created>
  <dcterms:modified xsi:type="dcterms:W3CDTF">2025-06-06T16:59:00Z</dcterms:modified>
  <cp:category/>
</cp:coreProperties>
</file>