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Technology Solutions Annual Report 2024</w:t>
      </w:r>
    </w:p>
    <w:p>
      <w:pPr>
        <w:jc w:val="center"/>
      </w:pPr>
      <w:r>
        <w:rPr>
          <w:i/>
          <w:color w:val="464646"/>
          <w:sz w:val="28"/>
        </w:rPr>
        <w:t>Strategic Innovation and Market Leadership Analysis</w:t>
      </w:r>
    </w:p>
    <w:p/>
    <w:p>
      <w:pPr>
        <w:pStyle w:val="Heading1"/>
      </w:pPr>
      <w:r>
        <w:t>Executive Summary</w:t>
      </w:r>
    </w:p>
    <w:p>
      <w:pPr>
        <w:jc w:val="both"/>
      </w:pPr>
      <w:r>
        <w:t>Global Technology Solutions achieved exceptional performance in 2024, establishing new benchmarks in innovation and market expansion. Our comprehensive strategy focused on artificial intelligence, cloud computing, and sustainable technology solutions has delivered remarkable results across all business segments.</w:t>
      </w:r>
    </w:p>
    <w:p>
      <w:r>
        <w:rPr>
          <w:b/>
        </w:rPr>
        <w:t xml:space="preserve">Key Achievements: </w:t>
      </w:r>
      <w:r>
        <w:t>Launched revolutionary AI platform, secured 15 major enterprise clients, expanded to Asian markets, and achieved industry-leading customer retention rate of 97%.</w:t>
      </w:r>
    </w:p>
    <w:p>
      <w:pPr>
        <w:pStyle w:val="Heading1"/>
      </w:pPr>
      <w:r>
        <w:t>Financial Performance</w:t>
      </w:r>
    </w:p>
    <w:p>
      <w:pPr>
        <w:pStyle w:val="Heading2"/>
      </w:pPr>
      <w:r>
        <w:t>Revenue Analysis</w:t>
      </w:r>
    </w:p>
    <w:p>
      <w:pPr>
        <w:jc w:val="both"/>
      </w:pPr>
      <w:r>
        <w:t>Our technology solutions division generated exceptional financial returns in 2024. Total revenue reached $185.2 million, representing a 32% increase from 2023's $140.3 million. This growth was primarily driven by our AI platform subscriptions, cloud infrastructure services, and strategic partnerships with Fortune 500 companies.</w:t>
      </w:r>
    </w:p>
    <w:p>
      <w:pPr>
        <w:pStyle w:val="Heading3"/>
      </w:pPr>
      <w:r>
        <w:t>Quarterly Financial Summary</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pPr>
              <w:jc w:val="center"/>
            </w:pPr>
            <w:r>
              <w:rPr>
                <w:b/>
                <w:color w:val="FFFFFF"/>
              </w:rPr>
              <w:t>Quarter</w:t>
            </w:r>
          </w:p>
        </w:tc>
        <w:tc>
          <w:tcPr>
            <w:tcW w:type="dxa" w:w="2340"/>
          </w:tcPr>
          <w:p>
            <w:pPr>
              <w:jc w:val="center"/>
            </w:pPr>
            <w:r>
              <w:rPr>
                <w:b/>
                <w:color w:val="FFFFFF"/>
              </w:rPr>
              <w:t>Revenue (millions)</w:t>
            </w:r>
          </w:p>
        </w:tc>
        <w:tc>
          <w:tcPr>
            <w:tcW w:type="dxa" w:w="2340"/>
          </w:tcPr>
          <w:p>
            <w:pPr>
              <w:jc w:val="center"/>
            </w:pPr>
            <w:r>
              <w:rPr>
                <w:b/>
                <w:color w:val="FFFFFF"/>
              </w:rPr>
              <w:t>Profit Margin (%)</w:t>
            </w:r>
          </w:p>
        </w:tc>
        <w:tc>
          <w:tcPr>
            <w:tcW w:type="dxa" w:w="2340"/>
          </w:tcPr>
          <w:p>
            <w:pPr>
              <w:jc w:val="center"/>
            </w:pPr>
            <w:r>
              <w:rPr>
                <w:b/>
                <w:color w:val="FFFFFF"/>
              </w:rPr>
              <w:t>Growth Rate (%)</w:t>
            </w:r>
          </w:p>
        </w:tc>
      </w:tr>
      <w:tr>
        <w:tc>
          <w:tcPr>
            <w:tcW w:type="dxa" w:w="2340"/>
          </w:tcPr>
          <w:p>
            <w:pPr>
              <w:jc w:val="center"/>
            </w:pPr>
            <w:r>
              <w:t>Q1 2024</w:t>
            </w:r>
          </w:p>
        </w:tc>
        <w:tc>
          <w:tcPr>
            <w:tcW w:type="dxa" w:w="2340"/>
          </w:tcPr>
          <w:p>
            <w:pPr>
              <w:jc w:val="center"/>
            </w:pPr>
            <w:r>
              <w:t>$42.1</w:t>
            </w:r>
          </w:p>
        </w:tc>
        <w:tc>
          <w:tcPr>
            <w:tcW w:type="dxa" w:w="2340"/>
          </w:tcPr>
          <w:p>
            <w:pPr>
              <w:jc w:val="center"/>
            </w:pPr>
            <w:r>
              <w:t>23.5%</w:t>
            </w:r>
          </w:p>
        </w:tc>
        <w:tc>
          <w:tcPr>
            <w:tcW w:type="dxa" w:w="2340"/>
          </w:tcPr>
          <w:p>
            <w:pPr>
              <w:jc w:val="center"/>
            </w:pPr>
            <w:r>
              <w:t>28.2%</w:t>
            </w:r>
          </w:p>
        </w:tc>
      </w:tr>
      <w:tr>
        <w:tc>
          <w:tcPr>
            <w:tcW w:type="dxa" w:w="2340"/>
          </w:tcPr>
          <w:p>
            <w:pPr>
              <w:jc w:val="center"/>
            </w:pPr>
            <w:r>
              <w:t>Q2 2024</w:t>
            </w:r>
          </w:p>
        </w:tc>
        <w:tc>
          <w:tcPr>
            <w:tcW w:type="dxa" w:w="2340"/>
          </w:tcPr>
          <w:p>
            <w:pPr>
              <w:jc w:val="center"/>
            </w:pPr>
            <w:r>
              <w:t>$45.8</w:t>
            </w:r>
          </w:p>
        </w:tc>
        <w:tc>
          <w:tcPr>
            <w:tcW w:type="dxa" w:w="2340"/>
          </w:tcPr>
          <w:p>
            <w:pPr>
              <w:jc w:val="center"/>
            </w:pPr>
            <w:r>
              <w:t>25.1%</w:t>
            </w:r>
          </w:p>
        </w:tc>
        <w:tc>
          <w:tcPr>
            <w:tcW w:type="dxa" w:w="2340"/>
          </w:tcPr>
          <w:p>
            <w:pPr>
              <w:jc w:val="center"/>
            </w:pPr>
            <w:r>
              <w:t>31.4%</w:t>
            </w:r>
          </w:p>
        </w:tc>
      </w:tr>
      <w:tr>
        <w:tc>
          <w:tcPr>
            <w:tcW w:type="dxa" w:w="2340"/>
          </w:tcPr>
          <w:p>
            <w:pPr>
              <w:jc w:val="center"/>
            </w:pPr>
            <w:r>
              <w:t>Q3 2024</w:t>
            </w:r>
          </w:p>
        </w:tc>
        <w:tc>
          <w:tcPr>
            <w:tcW w:type="dxa" w:w="2340"/>
          </w:tcPr>
          <w:p>
            <w:pPr>
              <w:jc w:val="center"/>
            </w:pPr>
            <w:r>
              <w:t>$48.3</w:t>
            </w:r>
          </w:p>
        </w:tc>
        <w:tc>
          <w:tcPr>
            <w:tcW w:type="dxa" w:w="2340"/>
          </w:tcPr>
          <w:p>
            <w:pPr>
              <w:jc w:val="center"/>
            </w:pPr>
            <w:r>
              <w:t>26.8%</w:t>
            </w:r>
          </w:p>
        </w:tc>
        <w:tc>
          <w:tcPr>
            <w:tcW w:type="dxa" w:w="2340"/>
          </w:tcPr>
          <w:p>
            <w:pPr>
              <w:jc w:val="center"/>
            </w:pPr>
            <w:r>
              <w:t>34.7%</w:t>
            </w:r>
          </w:p>
        </w:tc>
      </w:tr>
      <w:tr>
        <w:tc>
          <w:tcPr>
            <w:tcW w:type="dxa" w:w="2340"/>
          </w:tcPr>
          <w:p>
            <w:pPr>
              <w:jc w:val="center"/>
            </w:pPr>
            <w:r>
              <w:t>Q4 2024</w:t>
            </w:r>
          </w:p>
        </w:tc>
        <w:tc>
          <w:tcPr>
            <w:tcW w:type="dxa" w:w="2340"/>
          </w:tcPr>
          <w:p>
            <w:pPr>
              <w:jc w:val="center"/>
            </w:pPr>
            <w:r>
              <w:t>$49.0</w:t>
            </w:r>
          </w:p>
        </w:tc>
        <w:tc>
          <w:tcPr>
            <w:tcW w:type="dxa" w:w="2340"/>
          </w:tcPr>
          <w:p>
            <w:pPr>
              <w:jc w:val="center"/>
            </w:pPr>
            <w:r>
              <w:t>28.2%</w:t>
            </w:r>
          </w:p>
        </w:tc>
        <w:tc>
          <w:tcPr>
            <w:tcW w:type="dxa" w:w="2340"/>
          </w:tcPr>
          <w:p>
            <w:pPr>
              <w:jc w:val="center"/>
            </w:pPr>
            <w:r>
              <w:t>36.1%</w:t>
            </w:r>
          </w:p>
        </w:tc>
      </w:tr>
    </w:tbl>
    <w:p>
      <w:pPr>
        <w:pStyle w:val="Heading1"/>
      </w:pPr>
      <w:r>
        <w:t>Market Analysis and Competitive Landscape</w:t>
      </w:r>
    </w:p>
    <w:p>
      <w:pPr>
        <w:pStyle w:val="Heading2"/>
      </w:pPr>
      <w:r>
        <w:t>Industry Overview</w:t>
      </w:r>
    </w:p>
    <w:p>
      <w:r>
        <w:t>The enterprise technology market demonstrates robust growth prospects, with AI and cloud services leading digital transformation initiatives. Our market position strengthens through strategic focus on emerging technologies including machine learning, edge computing, and cybersecurity solutions for enterprise clients.</w:t>
      </w:r>
    </w:p>
    <w:p>
      <w:pPr>
        <w:pStyle w:val="Heading3"/>
      </w:pPr>
      <w:r>
        <w:t>Key Market Trends</w:t>
      </w:r>
    </w:p>
    <w:p>
      <w:pPr>
        <w:pStyle w:val="ListBullet"/>
        <w:jc w:val="left"/>
      </w:pPr>
      <w:r>
        <w:t>Enterprise AI adoption accelerating at unprecedented pace</w:t>
      </w:r>
    </w:p>
    <w:p>
      <w:pPr>
        <w:pStyle w:val="ListBullet"/>
        <w:jc w:val="left"/>
      </w:pPr>
      <w:r>
        <w:t>Cloud-first strategies becoming standard across industries</w:t>
      </w:r>
    </w:p>
    <w:p>
      <w:pPr>
        <w:pStyle w:val="ListBullet"/>
        <w:jc w:val="left"/>
      </w:pPr>
      <w:r>
        <w:t>Cybersecurity investments increasing due to rising threats</w:t>
      </w:r>
    </w:p>
    <w:p>
      <w:pPr>
        <w:pStyle w:val="ListBullet"/>
        <w:jc w:val="left"/>
      </w:pPr>
      <w:r>
        <w:t>Edge computing enabling real-time data processing</w:t>
      </w:r>
    </w:p>
    <w:p>
      <w:pPr>
        <w:pStyle w:val="ListBullet"/>
        <w:jc w:val="left"/>
      </w:pPr>
      <w:r>
        <w:t>Integration of IoT devices driving new service opportunities</w:t>
      </w:r>
    </w:p>
    <w:p>
      <w:pPr>
        <w:pStyle w:val="Heading1"/>
      </w:pPr>
      <w:r>
        <w:t>Product Development and Innovation</w:t>
      </w:r>
    </w:p>
    <w:p>
      <w:pPr>
        <w:pStyle w:val="Heading2"/>
      </w:pPr>
      <w:r>
        <w:t>New Product Launches</w:t>
      </w:r>
    </w:p>
    <w:p>
      <w:pPr>
        <w:jc w:val="both"/>
      </w:pPr>
      <w:r>
        <w:t>Our product development team delivered breakthrough innovations in 2024, including the next-generation AI analytics platform and advanced cybersecurity suite. Research and development investments totaled $22.8 million, representing 12.3% of total revenue, resulting in 8 new patents and 5 major product launches.</w:t>
      </w:r>
    </w:p>
    <w:p>
      <w:pPr>
        <w:pStyle w:val="Heading3"/>
      </w:pPr>
      <w:r>
        <w:t>Product Portfolio Performance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pPr>
              <w:jc w:val="center"/>
            </w:pPr>
            <w:r>
              <w:rPr>
                <w:b/>
              </w:rPr>
              <w:t>Product Category</w:t>
            </w:r>
          </w:p>
        </w:tc>
        <w:tc>
          <w:tcPr>
            <w:tcW w:type="dxa" w:w="1872"/>
          </w:tcPr>
          <w:p>
            <w:pPr>
              <w:jc w:val="center"/>
            </w:pPr>
            <w:r>
              <w:rPr>
                <w:b/>
              </w:rPr>
              <w:t>Units Sold</w:t>
            </w:r>
          </w:p>
        </w:tc>
        <w:tc>
          <w:tcPr>
            <w:tcW w:type="dxa" w:w="1872"/>
          </w:tcPr>
          <w:p>
            <w:pPr>
              <w:jc w:val="center"/>
            </w:pPr>
            <w:r>
              <w:rPr>
                <w:b/>
              </w:rPr>
              <w:t>Revenue Share</w:t>
            </w:r>
          </w:p>
        </w:tc>
        <w:tc>
          <w:tcPr>
            <w:tcW w:type="dxa" w:w="1872"/>
          </w:tcPr>
          <w:p>
            <w:pPr>
              <w:jc w:val="center"/>
            </w:pPr>
            <w:r>
              <w:rPr>
                <w:b/>
              </w:rPr>
              <w:t>Customer Rating</w:t>
            </w:r>
          </w:p>
        </w:tc>
        <w:tc>
          <w:tcPr>
            <w:tcW w:type="dxa" w:w="1872"/>
          </w:tcPr>
          <w:p>
            <w:pPr>
              <w:jc w:val="center"/>
            </w:pPr>
            <w:r>
              <w:rPr>
                <w:b/>
              </w:rPr>
              <w:t>Market Position</w:t>
            </w:r>
          </w:p>
        </w:tc>
      </w:tr>
      <w:tr>
        <w:tc>
          <w:tcPr>
            <w:tcW w:type="dxa" w:w="1872"/>
          </w:tcPr>
          <w:p>
            <w:pPr>
              <w:jc w:val="center"/>
            </w:pPr>
            <w:r>
              <w:t>AI Analytics Platform</w:t>
            </w:r>
          </w:p>
        </w:tc>
        <w:tc>
          <w:tcPr>
            <w:tcW w:type="dxa" w:w="1872"/>
          </w:tcPr>
          <w:p>
            <w:pPr>
              <w:jc w:val="center"/>
            </w:pPr>
            <w:r>
              <w:t>12,500</w:t>
            </w:r>
          </w:p>
        </w:tc>
        <w:tc>
          <w:tcPr>
            <w:tcW w:type="dxa" w:w="1872"/>
          </w:tcPr>
          <w:p>
            <w:pPr>
              <w:jc w:val="center"/>
            </w:pPr>
            <w:r>
              <w:t>42%</w:t>
            </w:r>
          </w:p>
        </w:tc>
        <w:tc>
          <w:tcPr>
            <w:tcW w:type="dxa" w:w="1872"/>
          </w:tcPr>
          <w:p>
            <w:pPr>
              <w:jc w:val="center"/>
            </w:pPr>
            <w:r>
              <w:t>4.9/5.0</w:t>
            </w:r>
          </w:p>
        </w:tc>
        <w:tc>
          <w:tcPr>
            <w:tcW w:type="dxa" w:w="1872"/>
          </w:tcPr>
          <w:p>
            <w:pPr>
              <w:jc w:val="center"/>
            </w:pPr>
            <w:r>
              <w:t>#1 in Segment</w:t>
            </w:r>
          </w:p>
        </w:tc>
      </w:tr>
      <w:tr>
        <w:tc>
          <w:tcPr>
            <w:tcW w:type="dxa" w:w="1872"/>
          </w:tcPr>
          <w:p>
            <w:pPr>
              <w:jc w:val="center"/>
            </w:pPr>
            <w:r>
              <w:t>Cloud Infrastructure</w:t>
            </w:r>
          </w:p>
        </w:tc>
        <w:tc>
          <w:tcPr>
            <w:tcW w:type="dxa" w:w="1872"/>
          </w:tcPr>
          <w:p>
            <w:pPr>
              <w:jc w:val="center"/>
            </w:pPr>
            <w:r>
              <w:t>8,200</w:t>
            </w:r>
          </w:p>
        </w:tc>
        <w:tc>
          <w:tcPr>
            <w:tcW w:type="dxa" w:w="1872"/>
          </w:tcPr>
          <w:p>
            <w:pPr>
              <w:jc w:val="center"/>
            </w:pPr>
            <w:r>
              <w:t>31%</w:t>
            </w:r>
          </w:p>
        </w:tc>
        <w:tc>
          <w:tcPr>
            <w:tcW w:type="dxa" w:w="1872"/>
          </w:tcPr>
          <w:p>
            <w:pPr>
              <w:jc w:val="center"/>
            </w:pPr>
            <w:r>
              <w:t>4.7/5.0</w:t>
            </w:r>
          </w:p>
        </w:tc>
        <w:tc>
          <w:tcPr>
            <w:tcW w:type="dxa" w:w="1872"/>
          </w:tcPr>
          <w:p>
            <w:pPr>
              <w:jc w:val="center"/>
            </w:pPr>
            <w:r>
              <w:t>#2 in Market</w:t>
            </w:r>
          </w:p>
        </w:tc>
      </w:tr>
      <w:tr>
        <w:tc>
          <w:tcPr>
            <w:tcW w:type="dxa" w:w="1872"/>
          </w:tcPr>
          <w:p>
            <w:pPr>
              <w:jc w:val="center"/>
            </w:pPr>
            <w:r>
              <w:t>Cybersecurity Suite</w:t>
            </w:r>
          </w:p>
        </w:tc>
        <w:tc>
          <w:tcPr>
            <w:tcW w:type="dxa" w:w="1872"/>
          </w:tcPr>
          <w:p>
            <w:pPr>
              <w:jc w:val="center"/>
            </w:pPr>
            <w:r>
              <w:t>5,400</w:t>
            </w:r>
          </w:p>
        </w:tc>
        <w:tc>
          <w:tcPr>
            <w:tcW w:type="dxa" w:w="1872"/>
          </w:tcPr>
          <w:p>
            <w:pPr>
              <w:jc w:val="center"/>
            </w:pPr>
            <w:r>
              <w:t>18%</w:t>
            </w:r>
          </w:p>
        </w:tc>
        <w:tc>
          <w:tcPr>
            <w:tcW w:type="dxa" w:w="1872"/>
          </w:tcPr>
          <w:p>
            <w:pPr>
              <w:jc w:val="center"/>
            </w:pPr>
            <w:r>
              <w:t>4.8/5.0</w:t>
            </w:r>
          </w:p>
        </w:tc>
        <w:tc>
          <w:tcPr>
            <w:tcW w:type="dxa" w:w="1872"/>
          </w:tcPr>
          <w:p>
            <w:pPr>
              <w:jc w:val="center"/>
            </w:pPr>
            <w:r>
              <w:t>#1 in Security</w:t>
            </w:r>
          </w:p>
        </w:tc>
      </w:tr>
      <w:tr>
        <w:tc>
          <w:tcPr>
            <w:tcW w:type="dxa" w:w="1872"/>
          </w:tcPr>
          <w:p>
            <w:pPr>
              <w:jc w:val="center"/>
            </w:pPr>
            <w:r>
              <w:t>Enterprise Consulting</w:t>
            </w:r>
          </w:p>
        </w:tc>
        <w:tc>
          <w:tcPr>
            <w:tcW w:type="dxa" w:w="1872"/>
          </w:tcPr>
          <w:p>
            <w:pPr>
              <w:jc w:val="center"/>
            </w:pPr>
            <w:r>
              <w:t>850</w:t>
            </w:r>
          </w:p>
        </w:tc>
        <w:tc>
          <w:tcPr>
            <w:tcW w:type="dxa" w:w="1872"/>
          </w:tcPr>
          <w:p>
            <w:pPr>
              <w:jc w:val="center"/>
            </w:pPr>
            <w:r>
              <w:t>6%</w:t>
            </w:r>
          </w:p>
        </w:tc>
        <w:tc>
          <w:tcPr>
            <w:tcW w:type="dxa" w:w="1872"/>
          </w:tcPr>
          <w:p>
            <w:pPr>
              <w:jc w:val="center"/>
            </w:pPr>
            <w:r>
              <w:t>4.9/5.0</w:t>
            </w:r>
          </w:p>
        </w:tc>
        <w:tc>
          <w:tcPr>
            <w:tcW w:type="dxa" w:w="1872"/>
          </w:tcPr>
          <w:p>
            <w:pPr>
              <w:jc w:val="center"/>
            </w:pPr>
            <w:r>
              <w:t>#1 in Advisory</w:t>
            </w:r>
          </w:p>
        </w:tc>
      </w:tr>
      <w:tr>
        <w:tc>
          <w:tcPr>
            <w:tcW w:type="dxa" w:w="1872"/>
          </w:tcPr>
          <w:p>
            <w:pPr>
              <w:jc w:val="center"/>
            </w:pPr>
            <w:r>
              <w:t>Training &amp; Certification</w:t>
            </w:r>
          </w:p>
        </w:tc>
        <w:tc>
          <w:tcPr>
            <w:tcW w:type="dxa" w:w="1872"/>
          </w:tcPr>
          <w:p>
            <w:pPr>
              <w:jc w:val="center"/>
            </w:pPr>
            <w:r>
              <w:t>2,100</w:t>
            </w:r>
          </w:p>
        </w:tc>
        <w:tc>
          <w:tcPr>
            <w:tcW w:type="dxa" w:w="1872"/>
          </w:tcPr>
          <w:p>
            <w:pPr>
              <w:jc w:val="center"/>
            </w:pPr>
            <w:r>
              <w:t>3%</w:t>
            </w:r>
          </w:p>
        </w:tc>
        <w:tc>
          <w:tcPr>
            <w:tcW w:type="dxa" w:w="1872"/>
          </w:tcPr>
          <w:p>
            <w:pPr>
              <w:jc w:val="center"/>
            </w:pPr>
            <w:r>
              <w:t>4.6/5.0</w:t>
            </w:r>
          </w:p>
        </w:tc>
        <w:tc>
          <w:tcPr>
            <w:tcW w:type="dxa" w:w="1872"/>
          </w:tcPr>
          <w:p>
            <w:pPr>
              <w:jc w:val="center"/>
            </w:pPr>
            <w:r>
              <w:t>#3 in Education</w:t>
            </w:r>
          </w:p>
        </w:tc>
      </w:tr>
    </w:tbl>
    <w:p>
      <w:pPr>
        <w:pStyle w:val="Heading1"/>
      </w:pPr>
      <w:r>
        <w:t>Operational Excellence and Process Optimization</w:t>
      </w:r>
    </w:p>
    <w:p>
      <w:pPr>
        <w:pStyle w:val="Heading2"/>
      </w:pPr>
      <w:r>
        <w:t>Efficiency Improvements</w:t>
      </w:r>
    </w:p>
    <w:p>
      <w:r>
        <w:t>Our commitment to operational excellence has resulted in significant improvements across all business functions. We implemented advanced automation systems, streamlined workflows, and adopted best practices that increased productivity by 35% while reducing operational costs by 18%.</w:t>
      </w:r>
    </w:p>
    <w:p>
      <w:r>
        <w:rPr>
          <w:b/>
          <w:color w:val="C80000"/>
          <w:sz w:val="24"/>
        </w:rPr>
        <w:t xml:space="preserve">IMPORTANT NOTE: </w:t>
      </w:r>
      <w:r>
        <w:t>All operational improvements were achieved while maintaining our commitment to employee welfare and environmental sustainability.</w:t>
      </w:r>
    </w:p>
    <w:p>
      <w:pPr>
        <w:pStyle w:val="Heading1"/>
      </w:pPr>
      <w:r>
        <w:t>Environmental Sustainability and Social Responsibility</w:t>
      </w:r>
    </w:p>
    <w:p>
      <w:pPr>
        <w:pStyle w:val="Heading2"/>
      </w:pPr>
      <w:r>
        <w:t>Carbon Neutrality Achievement</w:t>
      </w:r>
    </w:p>
    <w:p>
      <w:r>
        <w:t>We are proud to announce that our organization achieved carbon neutrality six months ahead of our scheduled target. This milestone represents a significant step in our journey toward becoming a fully sustainable enterprise by 2026.</w:t>
      </w:r>
    </w:p>
    <w:p>
      <w:pPr>
        <w:pStyle w:val="Heading3"/>
      </w:pPr>
      <w:r>
        <w:t>Environmental Impact Metrics</w:t>
      </w:r>
    </w:p>
    <w:tbl>
      <w:tblPr>
        <w:tblStyle w:val="TableGrid"/>
        <w:tblW w:type="auto" w:w="0"/>
        <w:tblLook w:firstColumn="1" w:firstRow="1" w:lastColumn="0" w:lastRow="0" w:noHBand="0" w:noVBand="1" w:val="04A0"/>
      </w:tblPr>
      <w:tblGrid>
        <w:gridCol w:w="3120"/>
        <w:gridCol w:w="3120"/>
        <w:gridCol w:w="3120"/>
      </w:tblGrid>
      <w:tr>
        <w:tc>
          <w:tcPr>
            <w:tcW w:type="dxa" w:w="3120"/>
          </w:tcPr>
          <w:p>
            <w:r>
              <w:rPr>
                <w:b/>
              </w:rPr>
              <w:t>Environmental Metric</w:t>
            </w:r>
          </w:p>
        </w:tc>
        <w:tc>
          <w:tcPr>
            <w:tcW w:type="dxa" w:w="3120"/>
          </w:tcPr>
          <w:p>
            <w:r>
              <w:rPr>
                <w:b/>
              </w:rPr>
              <w:t>2023 Baseline</w:t>
            </w:r>
          </w:p>
        </w:tc>
        <w:tc>
          <w:tcPr>
            <w:tcW w:type="dxa" w:w="3120"/>
          </w:tcPr>
          <w:p>
            <w:r>
              <w:rPr>
                <w:b/>
              </w:rPr>
              <w:t>2024 Achievement</w:t>
            </w:r>
          </w:p>
        </w:tc>
      </w:tr>
      <w:tr>
        <w:tc>
          <w:tcPr>
            <w:tcW w:type="dxa" w:w="3120"/>
          </w:tcPr>
          <w:p>
            <w:r>
              <w:t>Carbon Emissions (tons CO2)</w:t>
            </w:r>
          </w:p>
        </w:tc>
        <w:tc>
          <w:tcPr>
            <w:tcW w:type="dxa" w:w="3120"/>
          </w:tcPr>
          <w:p>
            <w:r>
              <w:t>2,450</w:t>
            </w:r>
          </w:p>
        </w:tc>
        <w:tc>
          <w:tcPr>
            <w:tcW w:type="dxa" w:w="3120"/>
          </w:tcPr>
          <w:p>
            <w:r>
              <w:t>0 (Net Zero)</w:t>
            </w:r>
          </w:p>
        </w:tc>
      </w:tr>
      <w:tr>
        <w:tc>
          <w:tcPr>
            <w:tcW w:type="dxa" w:w="3120"/>
          </w:tcPr>
          <w:p>
            <w:r>
              <w:t>Energy Consumption (MWh)</w:t>
            </w:r>
          </w:p>
        </w:tc>
        <w:tc>
          <w:tcPr>
            <w:tcW w:type="dxa" w:w="3120"/>
          </w:tcPr>
          <w:p>
            <w:r>
              <w:t>3,200</w:t>
            </w:r>
          </w:p>
        </w:tc>
        <w:tc>
          <w:tcPr>
            <w:tcW w:type="dxa" w:w="3120"/>
          </w:tcPr>
          <w:p>
            <w:r>
              <w:t>2,100 (34% reduction)</w:t>
            </w:r>
          </w:p>
        </w:tc>
      </w:tr>
      <w:tr>
        <w:tc>
          <w:tcPr>
            <w:tcW w:type="dxa" w:w="3120"/>
          </w:tcPr>
          <w:p>
            <w:r>
              <w:t>Renewable Energy Usage</w:t>
            </w:r>
          </w:p>
        </w:tc>
        <w:tc>
          <w:tcPr>
            <w:tcW w:type="dxa" w:w="3120"/>
          </w:tcPr>
          <w:p>
            <w:r>
              <w:t>45%</w:t>
            </w:r>
          </w:p>
        </w:tc>
        <w:tc>
          <w:tcPr>
            <w:tcW w:type="dxa" w:w="3120"/>
          </w:tcPr>
          <w:p>
            <w:r>
              <w:t>100%</w:t>
            </w:r>
          </w:p>
        </w:tc>
      </w:tr>
      <w:tr>
        <w:tc>
          <w:tcPr>
            <w:tcW w:type="dxa" w:w="3120"/>
          </w:tcPr>
          <w:p>
            <w:r>
              <w:t>Waste Recycling Rate</w:t>
            </w:r>
          </w:p>
        </w:tc>
        <w:tc>
          <w:tcPr>
            <w:tcW w:type="dxa" w:w="3120"/>
          </w:tcPr>
          <w:p>
            <w:r>
              <w:t>72%</w:t>
            </w:r>
          </w:p>
        </w:tc>
        <w:tc>
          <w:tcPr>
            <w:tcW w:type="dxa" w:w="3120"/>
          </w:tcPr>
          <w:p>
            <w:r>
              <w:t>95%</w:t>
            </w:r>
          </w:p>
        </w:tc>
      </w:tr>
    </w:tbl>
    <w:p>
      <w:pPr>
        <w:pStyle w:val="Heading1"/>
      </w:pPr>
      <w:r>
        <w:t>Strategic Outlook and Future Plans</w:t>
      </w:r>
    </w:p>
    <w:p>
      <w:pPr>
        <w:pStyle w:val="Heading2"/>
      </w:pPr>
      <w:r>
        <w:t>2025 Strategic Priorities</w:t>
      </w:r>
    </w:p>
    <w:p>
      <w:r>
        <w:t>Looking ahead to 2025, we have identified key strategic priorities that will drive continued growth and innovation. Our focus remains on expanding our global presence, investing in cutting-edge technologies, and strengthening our commitment to sustainable business practices.</w:t>
      </w:r>
    </w:p>
    <w:p>
      <w:pPr>
        <w:pStyle w:val="Heading3"/>
      </w:pPr>
      <w:r>
        <w:t>Key Strategic Initiatives</w:t>
      </w:r>
    </w:p>
    <w:p>
      <w:pPr>
        <w:pStyle w:val="ListNumber"/>
      </w:pPr>
      <w:r>
        <w:t>1. Expand operations to 10 new international markets</w:t>
      </w:r>
    </w:p>
    <w:p>
      <w:pPr>
        <w:pStyle w:val="ListNumber"/>
      </w:pPr>
      <w:r>
        <w:t>2. Launch next-generation AI-powered product suite</w:t>
      </w:r>
    </w:p>
    <w:p>
      <w:pPr>
        <w:pStyle w:val="ListNumber"/>
      </w:pPr>
      <w:r>
        <w:t>3. Achieve 40% increase in renewable energy infrastructure</w:t>
      </w:r>
    </w:p>
    <w:p>
      <w:pPr>
        <w:pStyle w:val="ListNumber"/>
      </w:pPr>
      <w:r>
        <w:t>4. Establish strategic partnerships with industry leaders</w:t>
      </w:r>
    </w:p>
    <w:p>
      <w:pPr>
        <w:pStyle w:val="ListNumber"/>
      </w:pPr>
      <w:r>
        <w:t>5. Implement comprehensive digital transformation program</w:t>
      </w:r>
    </w:p>
    <w:p>
      <w:pPr>
        <w:pStyle w:val="Heading1"/>
      </w:pPr>
      <w:r>
        <w:t>Conclusion</w:t>
      </w:r>
    </w:p>
    <w:p>
      <w:pPr>
        <w:jc w:val="both"/>
      </w:pPr>
      <w:r>
        <w:t>The achievements of 2024 have solidified our position as an industry leader committed to innovation, sustainability, and excellence. As we move forward into 2025, we remain focused on delivering exceptional value to our stakeholders while maintaining our responsibility to the environment and society.</w:t>
      </w:r>
    </w:p>
    <w:p>
      <w:pPr>
        <w:jc w:val="center"/>
      </w:pPr>
      <w:r>
        <w:rPr>
          <w:b/>
          <w:color w:val="00468C"/>
          <w:sz w:val="28"/>
        </w:rPr>
        <w:t>Thank you for your continued trust and partnership.</w:t>
      </w:r>
    </w:p>
    <w:p/>
    <w:p>
      <w:pPr>
        <w:jc w:val="right"/>
      </w:pPr>
      <w:r>
        <w:rPr>
          <w:i/>
          <w:color w:val="646464"/>
          <w:sz w:val="20"/>
        </w:rPr>
        <w:t>Document prepared by: Strategic Planning Department</w:t>
      </w:r>
    </w:p>
    <w:p>
      <w:pPr>
        <w:jc w:val="right"/>
      </w:pPr>
      <w:r>
        <w:rPr>
          <w:i/>
          <w:color w:val="646464"/>
          <w:sz w:val="20"/>
        </w:rPr>
        <w:t>Last updated: December 2024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