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/>
      </w:pPr>
      <w:bookmarkStart w:id="0" w:name="_GoBack"/>
      <w:bookmarkEnd w:id="0"/>
      <w:r>
        <w:t xml:space="preserve">Material Fact Of The Scenario </w:t>
      </w:r>
    </w:p>
    <w:p>
      <w:pPr>
        <w:pStyle w:val="style0"/>
        <w:rPr/>
      </w:pPr>
      <w:r>
        <w:t xml:space="preserve">The plaintiff  purchased a chemical compound of the defendant as </w:t>
      </w:r>
      <w:r>
        <w:rPr>
          <w:lang w:val="en-US"/>
        </w:rPr>
        <w:t xml:space="preserve">skin </w:t>
      </w:r>
      <w:r>
        <w:t xml:space="preserve">wash for the use of his wife. The </w:t>
      </w:r>
      <w:r>
        <w:rPr>
          <w:lang w:val="en-US"/>
        </w:rPr>
        <w:t xml:space="preserve">Liquid Soap </w:t>
      </w:r>
      <w:r>
        <w:t xml:space="preserve">wash was made up of ingredients known only to the defendant and by him represented to be “fit and proper to be used for washing the </w:t>
      </w:r>
      <w:r>
        <w:rPr>
          <w:lang w:val="en-US"/>
        </w:rPr>
        <w:t>skin</w:t>
      </w:r>
      <w:r>
        <w:t>.” There was also an express statement that the defendant knew the purpose for which the article was ught. Due to the defendant’s “unskillful; negligent and improper” make of the compound, caused injury complained by</w:t>
      </w:r>
      <w:r>
        <w:rPr>
          <w:lang w:val="en-US"/>
        </w:rPr>
        <w:t xml:space="preserve"> </w:t>
      </w:r>
      <w:r>
        <w:t>the plaintiff.</w:t>
      </w:r>
    </w:p>
    <w:p>
      <w:pPr>
        <w:pStyle w:val="style1"/>
        <w:rPr/>
      </w:pPr>
      <w:r>
        <w:t xml:space="preserve">▪Issue raised </w:t>
      </w:r>
    </w:p>
    <w:p>
      <w:pPr>
        <w:pStyle w:val="style0"/>
        <w:rPr/>
      </w:pPr>
      <w:r>
        <w:t xml:space="preserve">Whether an action at the suit of the plaintiff (wife) her husband being joined for </w:t>
      </w:r>
    </w:p>
    <w:p>
      <w:pPr>
        <w:pStyle w:val="style0"/>
        <w:rPr/>
      </w:pPr>
      <w:r>
        <w:t>conformity, will lie (or was there a cause of action against the defendant?).</w:t>
      </w:r>
      <w:r>
        <w:rPr>
          <w:lang w:val="en-US"/>
        </w:rPr>
        <w:t xml:space="preserve"> Whether the manufactured of products was liable in spread of the product but the seller was liable to enter into contract with the buyer </w:t>
      </w:r>
    </w:p>
    <w:p>
      <w:pPr>
        <w:pStyle w:val="style0"/>
        <w:rPr/>
      </w:pPr>
      <w:r>
        <w:t xml:space="preserve">▪Argument by the Counsel for defendant:there was no warranty, express or implied </w:t>
      </w:r>
    </w:p>
    <w:p>
      <w:pPr>
        <w:pStyle w:val="style0"/>
        <w:rPr/>
      </w:pPr>
      <w:r>
        <w:t>towards the purchaser, therefore any liability.</w:t>
      </w:r>
    </w:p>
    <w:p>
      <w:pPr>
        <w:pStyle w:val="style0"/>
        <w:rPr/>
      </w:pPr>
      <w:r>
        <w:t xml:space="preserve">▪Argument by the Counsel for the plaintiffs:The defendant was a chemist who made the </w:t>
      </w:r>
    </w:p>
    <w:p>
      <w:pPr>
        <w:pStyle w:val="style0"/>
        <w:rPr/>
      </w:pPr>
      <w:r>
        <w:t xml:space="preserve">compound which he sold for a particular purpose, and knowing the purposes, for which it </w:t>
      </w:r>
    </w:p>
    <w:p>
      <w:pPr>
        <w:pStyle w:val="style0"/>
        <w:rPr/>
      </w:pPr>
      <w:r>
        <w:t xml:space="preserve">was bought, is liable in an action on the case for unskillfulness and negligence in the </w:t>
      </w:r>
    </w:p>
    <w:p>
      <w:pPr>
        <w:pStyle w:val="style0"/>
        <w:rPr/>
      </w:pPr>
      <w:r>
        <w:t>manufacture of it whereby the person who used it was injured.</w:t>
      </w:r>
    </w:p>
    <w:p>
      <w:pPr>
        <w:pStyle w:val="style2"/>
        <w:rPr/>
      </w:pPr>
      <w:r>
        <w:t>▪Holding:</w:t>
      </w:r>
    </w:p>
    <w:p>
      <w:pPr>
        <w:pStyle w:val="style0"/>
        <w:rPr/>
      </w:pPr>
      <w:r>
        <w:t>Judgment for the plaintiffs</w:t>
      </w:r>
      <w:r>
        <w:rPr>
          <w:lang w:val="en-US"/>
        </w:rPr>
        <w:t xml:space="preserve"> against the defendant </w:t>
      </w:r>
    </w:p>
    <w:p>
      <w:pPr>
        <w:pStyle w:val="style3"/>
        <w:rPr/>
      </w:pPr>
      <w:r>
        <w:t>▪Ratio Decidendi:</w:t>
      </w:r>
    </w:p>
    <w:p>
      <w:pPr>
        <w:pStyle w:val="style0"/>
        <w:rPr/>
      </w:pPr>
      <w:r>
        <w:t>Apart from the question of warranty,express or implied there is a duty on the defendant, the vendor, to use ordinary care in compounding his wash for the</w:t>
      </w:r>
      <w:r>
        <w:rPr>
          <w:lang w:val="en-US"/>
        </w:rPr>
        <w:t xml:space="preserve"> skin</w:t>
      </w:r>
      <w:r>
        <w:t xml:space="preserve">. </w:t>
      </w:r>
    </w:p>
    <w:p>
      <w:pPr>
        <w:pStyle w:val="style0"/>
        <w:rPr/>
      </w:pPr>
      <w:r>
        <w:t xml:space="preserve">There was such a duty to wards the purchaser and it extends to the person whose use the </w:t>
      </w:r>
    </w:p>
    <w:p>
      <w:pPr>
        <w:pStyle w:val="style0"/>
        <w:rPr/>
      </w:pPr>
      <w:r>
        <w:t xml:space="preserve">vendor knew the compound was purchased Langridge v Levywas cited as an authority for </w:t>
      </w:r>
    </w:p>
    <w:p>
      <w:pPr>
        <w:pStyle w:val="style0"/>
        <w:rPr/>
      </w:pPr>
      <w:r>
        <w:t xml:space="preserve">this proposition. Here a similar duty a rose towards the person who was known to the </w:t>
      </w:r>
    </w:p>
    <w:p>
      <w:pPr>
        <w:pStyle w:val="style0"/>
        <w:rPr/>
      </w:pPr>
      <w:r>
        <w:t xml:space="preserve">defendant to be about to use this wash; namely the duty that the article sold should be </w:t>
      </w:r>
    </w:p>
    <w:p>
      <w:pPr>
        <w:pStyle w:val="style0"/>
        <w:rPr/>
      </w:pPr>
      <w:r>
        <w:t xml:space="preserve">reasonably fit for the purpose it was bought for and compounded with reasonable care. </w:t>
      </w:r>
    </w:p>
    <w:p>
      <w:pPr>
        <w:pStyle w:val="style0"/>
        <w:rPr/>
      </w:pPr>
      <w:r>
        <w:t xml:space="preserve">▪Obiter Dicta: Kelly, C.B. distinguished the case of Longmeid Elisa v Hollidayfrom this </w:t>
      </w:r>
    </w:p>
    <w:p>
      <w:pPr>
        <w:pStyle w:val="style0"/>
        <w:rPr/>
      </w:pPr>
      <w:r>
        <w:t>case in that the former cases’ decision was not based on the negligence of the Vendor.</w:t>
      </w:r>
    </w:p>
    <w:p>
      <w:pPr>
        <w:pStyle w:val="style0"/>
        <w:rPr/>
      </w:pPr>
      <w:r>
        <w:t xml:space="preserve">Piggott, B; was of the same opinion and he added:…. Where the thing purchased is for the </w:t>
      </w:r>
    </w:p>
    <w:p>
      <w:pPr>
        <w:pStyle w:val="style0"/>
        <w:rPr/>
      </w:pPr>
      <w:r>
        <w:t xml:space="preserve">use not of the purchaser himself but, to the defendants’ knowledge, of his wife, does the </w:t>
      </w:r>
    </w:p>
    <w:p>
      <w:pPr>
        <w:pStyle w:val="style0"/>
        <w:rPr/>
      </w:pPr>
      <w:r>
        <w:t xml:space="preserve">defendant’s duty extend to her? I can see no reason why it should not [The judge points to the </w:t>
      </w:r>
    </w:p>
    <w:p>
      <w:pPr>
        <w:pStyle w:val="style0"/>
        <w:rPr/>
      </w:pPr>
      <w:r>
        <w:t xml:space="preserve">incapacity of women to sue on their own in those days which area reason why a husband had to </w:t>
      </w:r>
    </w:p>
    <w:p>
      <w:pPr>
        <w:pStyle w:val="style0"/>
        <w:rPr/>
      </w:pPr>
      <w:r>
        <w:t>be joined with her as co-plaintiffs).</w:t>
      </w:r>
    </w:p>
    <w:p>
      <w:pPr>
        <w:pStyle w:val="style0"/>
        <w:rPr/>
      </w:pPr>
      <w:r>
        <w:t xml:space="preserve">➢A major breakthrough occurred inHeaven v Pender7, where the court finally recognizedthat a duty of care can be owed to third parties. In a scenario where rdinary care or skill is required to prevent injury to the plaintiff, a duty of care exists even in the absence of a contract.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74">
    <w:name w:val="Subtitle"/>
    <w:basedOn w:val="style0"/>
    <w:next w:val="style0"/>
    <w:link w:val="style12362"/>
    <w:qFormat/>
    <w:uiPriority w:val="11"/>
    <w:pPr>
      <w:numPr>
        <w:ilvl w:val="1"/>
        <w:numId w:val="0"/>
      </w:numPr>
    </w:pPr>
    <w:rPr>
      <w:i/>
      <w:iCs/>
      <w:color w:val="4f81bd"/>
      <w:spacing w:val="15"/>
      <w:sz w:val="24"/>
      <w:szCs w:val="24"/>
    </w:rPr>
  </w:style>
  <w:style w:type="character" w:customStyle="1" w:styleId="style12362">
    <w:name w:val="SubtitleChar"/>
    <w:basedOn w:val="style65"/>
    <w:link w:val="style74"/>
    <w:uiPriority w:val="11"/>
    <w:rPr>
      <w:i/>
      <w:iCs/>
      <w:color w:val="4f81bd"/>
      <w:spacing w:val="15"/>
      <w:sz w:val="24"/>
      <w:szCs w:val="24"/>
    </w:rPr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12289">
    <w:name w:val="Heading 1 Char"/>
    <w:basedOn w:val="style65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12290"/>
    <w:qFormat/>
    <w:uiPriority w:val="9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12290">
    <w:name w:val="Heading 2 Char"/>
    <w:basedOn w:val="style65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12291"/>
    <w:qFormat/>
    <w:uiPriority w:val="9"/>
    <w:pPr>
      <w:keepNext/>
      <w:keepLines/>
      <w:spacing w:before="200" w:after="0"/>
      <w:outlineLvl w:val="2"/>
    </w:pPr>
    <w:rPr>
      <w:b/>
      <w:bCs/>
      <w:color w:val="4f81bd"/>
    </w:rPr>
  </w:style>
  <w:style w:type="character" w:customStyle="1" w:styleId="style12291">
    <w:name w:val="Heading 3 Char"/>
    <w:basedOn w:val="style65"/>
    <w:link w:val="style3"/>
    <w:uiPriority w:val="9"/>
    <w:rPr>
      <w:b/>
      <w:bCs/>
      <w:color w:val="4f81b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490</Words>
  <Characters>2319</Characters>
  <Application>WPS Office</Application>
  <Paragraphs>28</Paragraphs>
  <CharactersWithSpaces>2803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2023-05-28T19:25:01Z</dcterms:created>
  <dc:creator>TECNO KH6</dc:creator>
  <lastModifiedBy>TECNO KH6</lastModifiedBy>
  <dcterms:modified xsi:type="dcterms:W3CDTF">2023-05-29T16:07:34Z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c731f74687c745fb8fe3ceb7ecab6be3</vt:lpwstr>
  </property>
</Properties>
</file>