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3864"/>
          <w:sz w:val="32"/>
          <w:szCs w:val="32"/>
        </w:rPr>
        <w:t xml:space="preserve">DstComputing</w:t>
      </w:r>
    </w:p>
    <w:p>
      <w:pPr>
        <w:spacing w:after="800"/>
        <w:jc w:val="center"/>
      </w:pPr>
      <w:r>
        <w:rPr>
          <w:i/>
          <w:iCs/>
          <w:color w:val="2E5C8A"/>
          <w:sz w:val="20"/>
          <w:szCs w:val="20"/>
        </w:rPr>
        <w:t xml:space="preserve">Ingénierie logicielle &amp; solutions métier</w:t>
      </w:r>
    </w:p>
    <w:p>
      <w:pPr>
        <w:spacing w:after="200" w:before="1200"/>
        <w:jc w:val="center"/>
      </w:pPr>
      <w:r>
        <w:rPr>
          <w:b/>
          <w:bCs/>
          <w:color w:val="1F3864"/>
          <w:sz w:val="40"/>
          <w:szCs w:val="40"/>
        </w:rPr>
        <w:t xml:space="preserve">CAHIER DES CHARGES FONCTIONNEL</w:t>
      </w:r>
    </w:p>
    <w:p>
      <w:pPr>
        <w:spacing w:after="200"/>
        <w:jc w:val="center"/>
      </w:pPr>
      <w:r>
        <w:rPr>
          <w:b/>
          <w:bCs/>
          <w:sz w:val="28"/>
          <w:szCs w:val="28"/>
        </w:rPr>
        <w:t xml:space="preserve">Module « Gestion des Évaluations du Personnel »</w:t>
      </w:r>
    </w:p>
    <w:p>
      <w:pPr>
        <w:spacing w:after="100"/>
        <w:jc w:val="center"/>
      </w:pPr>
      <w:r>
        <w:rPr>
          <w:color w:val="2E5C8A"/>
          <w:sz w:val="24"/>
          <w:szCs w:val="24"/>
        </w:rPr>
        <w:t xml:space="preserve">Plateforme NiidPro — SIRH</w:t>
      </w:r>
    </w:p>
    <w:p>
      <w:pPr>
        <w:spacing w:after="900"/>
        <w:jc w:val="center"/>
      </w:pPr>
      <w:r>
        <w:rPr>
          <w:sz w:val="22"/>
          <w:szCs w:val="22"/>
        </w:rPr>
        <w:t xml:space="preserve">Client : Agence Nationale de la Sécurité Routière (ANASER)</w:t>
      </w:r>
    </w:p>
    <w:p>
      <w:pPr>
        <w:spacing w:after="60"/>
        <w:jc w:val="center"/>
      </w:pPr>
      <w:r>
        <w:rPr>
          <w:i/>
          <w:iCs/>
          <w:sz w:val="18"/>
          <w:szCs w:val="18"/>
        </w:rPr>
        <w:t xml:space="preserve">Document de référence : Note de cadrage — Campagne d'évaluation annuelle du personnel, Exercice 2026</w:t>
      </w:r>
    </w:p>
    <w:p>
      <w:pPr>
        <w:spacing w:after="60"/>
        <w:jc w:val="center"/>
      </w:pPr>
      <w:r>
        <w:rPr>
          <w:i/>
          <w:iCs/>
          <w:sz w:val="18"/>
          <w:szCs w:val="18"/>
        </w:rPr>
        <w:t xml:space="preserve">Fondement : Manuel de procédures ANASER (Version 01 – août 2023), Chapitre IV, Sections B et 11</w:t>
      </w:r>
    </w:p>
    <w:p>
      <w:pPr>
        <w:spacing w:after="1200"/>
        <w:jc w:val="center"/>
      </w:pPr>
      <w:r>
        <w:rPr>
          <w:sz w:val="18"/>
          <w:szCs w:val="18"/>
        </w:rPr>
        <w:t xml:space="preserve">Version 1.0 — Août 2026</w:t>
      </w:r>
    </w:p>
    <w:p>
      <w:r>
        <w:br w:type="page"/>
      </w:r>
    </w:p>
    <w:p>
      <w:pPr>
        <w:pStyle w:val="Heading1"/>
        <w:spacing w:after="200" w:before="400"/>
      </w:pPr>
      <w:r>
        <w:t xml:space="preserve">Sommaire</w:t>
      </w:r>
    </w:p>
    <w:p>
      <w:pPr>
        <w:spacing w:after="120"/>
      </w:pPr>
      <w:r>
        <w:t xml:space="preserve">1. Contexte et objet du document</w:t>
      </w:r>
    </w:p>
    <w:p>
      <w:pPr>
        <w:spacing w:after="120"/>
      </w:pPr>
      <w:r>
        <w:t xml:space="preserve">2. Objectifs du module</w:t>
      </w:r>
    </w:p>
    <w:p>
      <w:pPr>
        <w:spacing w:after="120"/>
      </w:pPr>
      <w:r>
        <w:t xml:space="preserve">3. Périmètre fonctionnel et exclusions</w:t>
      </w:r>
    </w:p>
    <w:p>
      <w:pPr>
        <w:spacing w:after="120"/>
      </w:pPr>
      <w:r>
        <w:t xml:space="preserve">4. Référentiels et paramétrage préalable</w:t>
      </w:r>
    </w:p>
    <w:p>
      <w:pPr>
        <w:spacing w:after="120"/>
      </w:pPr>
      <w:r>
        <w:t xml:space="preserve">5. Acteurs, rôles et droits d'accès</w:t>
      </w:r>
    </w:p>
    <w:p>
      <w:pPr>
        <w:spacing w:after="120"/>
      </w:pPr>
      <w:r>
        <w:t xml:space="preserve">6. Cycle de vie de la fiche d'évaluation</w:t>
      </w:r>
    </w:p>
    <w:p>
      <w:pPr>
        <w:spacing w:after="120"/>
      </w:pPr>
      <w:r>
        <w:t xml:space="preserve">7. Spécifications fonctionnelles détaillées par sous-procédure</w:t>
      </w:r>
    </w:p>
    <w:p>
      <w:pPr>
        <w:spacing w:after="120"/>
      </w:pPr>
      <w:r>
        <w:t xml:space="preserve">   7.1. Sous-procédure 1 — Lancer la campagne d'évaluation</w:t>
      </w:r>
    </w:p>
    <w:p>
      <w:pPr>
        <w:spacing w:after="120"/>
      </w:pPr>
      <w:r>
        <w:t xml:space="preserve">   7.2. Sous-procédure 2 — Planifier les entretiens d'évaluation</w:t>
      </w:r>
    </w:p>
    <w:p>
      <w:pPr>
        <w:spacing w:after="120"/>
      </w:pPr>
      <w:r>
        <w:t xml:space="preserve">   7.3. Sous-procédure 3 — Évaluer et transmettre</w:t>
      </w:r>
    </w:p>
    <w:p>
      <w:pPr>
        <w:spacing w:after="120"/>
      </w:pPr>
      <w:r>
        <w:t xml:space="preserve">   7.4. Sous-procédure 4 — Élaboration du tableau de synthèse</w:t>
      </w:r>
    </w:p>
    <w:p>
      <w:pPr>
        <w:spacing w:after="120"/>
      </w:pPr>
      <w:r>
        <w:t xml:space="preserve">   7.5. Sous-procédure 5 — Étudier les rapports, notifier et transmettre</w:t>
      </w:r>
    </w:p>
    <w:p>
      <w:pPr>
        <w:spacing w:after="120"/>
      </w:pPr>
      <w:r>
        <w:t xml:space="preserve">   7.6. Sous-procédure 6 — Informer les agents</w:t>
      </w:r>
    </w:p>
    <w:p>
      <w:pPr>
        <w:spacing w:after="120"/>
      </w:pPr>
      <w:r>
        <w:t xml:space="preserve">8. Cas particuliers et règles de gestion transverses</w:t>
      </w:r>
    </w:p>
    <w:p>
      <w:pPr>
        <w:spacing w:after="120"/>
      </w:pPr>
      <w:r>
        <w:t xml:space="preserve">9. Confidentialité, archivage et traçabilité</w:t>
      </w:r>
    </w:p>
    <w:p>
      <w:pPr>
        <w:spacing w:after="120"/>
      </w:pPr>
      <w:r>
        <w:t xml:space="preserve">10. Notifications et tableau de bord</w:t>
      </w:r>
    </w:p>
    <w:p>
      <w:pPr>
        <w:spacing w:after="120"/>
      </w:pPr>
      <w:r>
        <w:t xml:space="preserve">11. Documents générés par le système</w:t>
      </w:r>
    </w:p>
    <w:p>
      <w:pPr>
        <w:spacing w:after="120"/>
      </w:pPr>
      <w:r>
        <w:t xml:space="preserve">12. Matrice RACI</w:t>
      </w:r>
    </w:p>
    <w:p>
      <w:pPr>
        <w:spacing w:after="120"/>
      </w:pPr>
      <w:r>
        <w:t xml:space="preserve">13. Exigences non fonctionnelles</w:t>
      </w:r>
    </w:p>
    <w:p>
      <w:pPr>
        <w:spacing w:after="120"/>
      </w:pPr>
      <w:r>
        <w:t xml:space="preserve">14. Liste des écrans du module</w:t>
      </w:r>
    </w:p>
    <w:p>
      <w:pPr>
        <w:spacing w:after="120"/>
      </w:pPr>
      <w:r>
        <w:t xml:space="preserve">15. Glossaire</w:t>
      </w:r>
    </w:p>
    <w:p>
      <w:r>
        <w:br w:type="page"/>
      </w:r>
    </w:p>
    <w:p>
      <w:pPr>
        <w:pStyle w:val="Heading1"/>
        <w:spacing w:after="200" w:before="400"/>
      </w:pPr>
      <w:r>
        <w:t xml:space="preserve">1. Contexte et objet du document</w:t>
      </w:r>
    </w:p>
    <w:p>
      <w:pPr>
        <w:spacing w:after="120"/>
      </w:pPr>
      <w:r>
        <w:t xml:space="preserve">L'Agence Nationale de la Sécurité Routière (ANASER) organise chaque année, conformément au Manuel de procédures (Version 01 – août 2023, Chapitre IV, Section B et Section 11), une campagne d'évaluation professionnelle de l'ensemble de son personnel. Cette campagne repose sur un entretien annuel entre chaque collaborateur et son responsable hiérarchique, portant sur les responsabilités tenues, les compétences, l'atteinte du plan d'action de la période écoulée, la fixation des objectifs à venir, les besoins de formation et les perspectives d'évolution.</w:t>
      </w:r>
    </w:p>
    <w:p>
      <w:pPr>
        <w:spacing w:after="120"/>
      </w:pPr>
      <w:r>
        <w:t xml:space="preserve">La Note de cadrage — Campagne d'évaluation annuelle du personnel, Exercice 2026 formalise les modalités d'organisation de cette campagne et sert de cahier des charges métier de référence pour le présent document.</w:t>
      </w:r>
    </w:p>
    <w:p>
      <w:pPr>
        <w:spacing w:after="120"/>
      </w:pPr>
      <w:r>
        <w:t xml:space="preserve">Le présent cahier des charges fonctionnel a pour objet de traduire intégralement cette note de cadrage — son contexte, ses six sous-procédures, ses acteurs, ses critères et son calendrier — en un ensemble de fonctionnalités à développer dans un nouveau module « Gestion des Évaluations » intégré à la plateforme NiidPro (SIRH développée par DstComputing, Laravel 11 / React 18 – TypeScript). Aucune étape, tâche, acteur ou règle de gestion mentionnée dans la note de cadrage n'est volontairement omise ; chaque élément de la note est repris et décliné en exigence fonctionnelle correspondante.</w:t>
      </w:r>
    </w:p>
    <w:p>
      <w:pPr>
        <w:spacing w:after="120"/>
      </w:pPr>
      <w:r>
        <w:t xml:space="preserve">Le module doit permettre une application uniforme de la procédure décrite, tout en restant paramétrable (dates, structures, critères) pour être reconductible d'une campagne à l'autre et adaptable à d'autres clients NiidPro ayant des procédures similaires.</w:t>
      </w:r>
    </w:p>
    <w:p>
      <w:pPr>
        <w:pStyle w:val="Heading1"/>
        <w:spacing w:after="200" w:before="400"/>
      </w:pPr>
      <w:r>
        <w:t xml:space="preserve">2. Objectifs du module</w:t>
      </w:r>
    </w:p>
    <w:p>
      <w:pPr>
        <w:spacing w:after="120"/>
      </w:pPr>
      <w:r>
        <w:t xml:space="preserve">Conformément à l'article « Objectifs de la campagne » de la note de cadrage (Manuel, page 99), le module doit permettre au système d'information de servir directement les objectifs suivants :</w:t>
      </w:r>
    </w:p>
    <w:p>
      <w:pPr>
        <w:pStyle w:val="ListParagraph"/>
        <w:numPr>
          <w:ilvl w:val="0"/>
          <w:numId w:val="1"/>
        </w:numPr>
        <w:spacing w:after="60"/>
      </w:pPr>
      <w:r>
        <w:t xml:space="preserve">Permettre d'apprécier objectivement et de manière transparente les performances individuelles de chaque agent, via une grille de notation structurée et traçable ;</w:t>
      </w:r>
    </w:p>
    <w:p>
      <w:pPr>
        <w:pStyle w:val="ListParagraph"/>
        <w:numPr>
          <w:ilvl w:val="0"/>
          <w:numId w:val="1"/>
        </w:numPr>
        <w:spacing w:after="60"/>
      </w:pPr>
      <w:r>
        <w:t xml:space="preserve">Permettre de mesurer et documenter le niveau d'atteinte du plan d'action personnel de la période écoulée ;</w:t>
      </w:r>
    </w:p>
    <w:p>
      <w:pPr>
        <w:pStyle w:val="ListParagraph"/>
        <w:numPr>
          <w:ilvl w:val="0"/>
          <w:numId w:val="1"/>
        </w:numPr>
        <w:spacing w:after="60"/>
      </w:pPr>
      <w:r>
        <w:t xml:space="preserve">Permettre d'identifier et de consolider les besoins en formation et en renforcement de capacités, en vue d'alimenter un futur plan de formation ;</w:t>
      </w:r>
    </w:p>
    <w:p>
      <w:pPr>
        <w:pStyle w:val="ListParagraph"/>
        <w:numPr>
          <w:ilvl w:val="0"/>
          <w:numId w:val="1"/>
        </w:numPr>
        <w:spacing w:after="60"/>
      </w:pPr>
      <w:r>
        <w:t xml:space="preserve">Permettre de fixer et d'enregistrer les objectifs et le plan d'action de la période à venir ;</w:t>
      </w:r>
    </w:p>
    <w:p>
      <w:pPr>
        <w:pStyle w:val="ListParagraph"/>
        <w:numPr>
          <w:ilvl w:val="0"/>
          <w:numId w:val="1"/>
        </w:numPr>
        <w:spacing w:after="60"/>
      </w:pPr>
      <w:r>
        <w:t xml:space="preserve">Permettre de documenter les possibilités d'évolution professionnelle envisagées ;</w:t>
      </w:r>
    </w:p>
    <w:p>
      <w:pPr>
        <w:pStyle w:val="ListParagraph"/>
        <w:numPr>
          <w:ilvl w:val="0"/>
          <w:numId w:val="1"/>
        </w:numPr>
        <w:spacing w:after="60"/>
      </w:pPr>
      <w:r>
        <w:t xml:space="preserve">Garantir que chaque agent soit informé, de manière tracée, du résultat de son évaluation ;</w:t>
      </w:r>
    </w:p>
    <w:p>
      <w:pPr>
        <w:pStyle w:val="ListParagraph"/>
        <w:numPr>
          <w:ilvl w:val="0"/>
          <w:numId w:val="1"/>
        </w:numPr>
        <w:spacing w:after="60"/>
      </w:pPr>
      <w:r>
        <w:t xml:space="preserve">Fournir à la Direction générale, au DAF et à la Division RH une visibilité en temps réel sur l'avancement de la campagne (structure par structure, agent par agent) ;</w:t>
      </w:r>
    </w:p>
    <w:p>
      <w:pPr>
        <w:pStyle w:val="ListParagraph"/>
        <w:numPr>
          <w:ilvl w:val="0"/>
          <w:numId w:val="1"/>
        </w:numPr>
        <w:spacing w:after="60"/>
      </w:pPr>
      <w:r>
        <w:t xml:space="preserve">Sécuriser et automatiser la circulation des documents (notes de service, fiches, tableaux de synthèse, courriers de notification) entre les différents acteurs du circuit.</w:t>
      </w:r>
    </w:p>
    <w:p>
      <w:pPr>
        <w:spacing w:after="120"/>
      </w:pPr>
      <w:r>
        <w:t xml:space="preserve">Le module rappelle et fait respecter, à chaque étape, le principe fixé par la note de cadrage selon lequel l'évaluation ne revêt aucun caractère disciplinaire et doit être conduite dans le respect de la dignité de chaque agent — ce principe est affiché en en-tête de chaque fiche d'évaluation et ne peut être désactivé par paramétrage.</w:t>
      </w:r>
    </w:p>
    <w:p>
      <w:pPr>
        <w:pStyle w:val="Heading1"/>
        <w:spacing w:after="200" w:before="400"/>
      </w:pPr>
      <w:r>
        <w:t xml:space="preserve">3. Périmètre fonctionnel et exclusions</w:t>
      </w:r>
    </w:p>
    <w:p>
      <w:pPr>
        <w:pStyle w:val="Heading2"/>
        <w:spacing w:after="150" w:before="300"/>
      </w:pPr>
      <w:r>
        <w:t xml:space="preserve">3.1. Personnel concerné</w:t>
      </w:r>
    </w:p>
    <w:p>
      <w:pPr>
        <w:spacing w:after="120"/>
      </w:pPr>
      <w:r>
        <w:t xml:space="preserve">Conformément au Manuel de procédures (Section B, page 67), le module doit couvrir la totalité du périmètre humain suivant, chaque catégorie devant être identifiable dans la fiche agent existante de NiidPro (attribut « Catégorie statutaire ») :</w:t>
      </w:r>
    </w:p>
    <w:p>
      <w:pPr>
        <w:pStyle w:val="ListParagraph"/>
        <w:numPr>
          <w:ilvl w:val="0"/>
          <w:numId w:val="1"/>
        </w:numPr>
        <w:spacing w:after="60"/>
      </w:pPr>
      <w:r>
        <w:t xml:space="preserve">Les agents recrutés directement par l'Agence (contractuels) ;</w:t>
      </w:r>
    </w:p>
    <w:p>
      <w:pPr>
        <w:pStyle w:val="ListParagraph"/>
        <w:numPr>
          <w:ilvl w:val="0"/>
          <w:numId w:val="1"/>
        </w:numPr>
        <w:spacing w:after="60"/>
      </w:pPr>
      <w:r>
        <w:t xml:space="preserve">Les fonctionnaires et agents non fonctionnaires mis à la disposition de l'ANASER par l'État ;</w:t>
      </w:r>
    </w:p>
    <w:p>
      <w:pPr>
        <w:pStyle w:val="ListParagraph"/>
        <w:numPr>
          <w:ilvl w:val="0"/>
          <w:numId w:val="1"/>
        </w:numPr>
        <w:spacing w:after="60"/>
      </w:pPr>
      <w:r>
        <w:t xml:space="preserve">Les agents décisionnaires ;</w:t>
      </w:r>
    </w:p>
    <w:p>
      <w:pPr>
        <w:pStyle w:val="ListParagraph"/>
        <w:numPr>
          <w:ilvl w:val="0"/>
          <w:numId w:val="1"/>
        </w:numPr>
        <w:spacing w:after="60"/>
      </w:pPr>
      <w:r>
        <w:t xml:space="preserve">Les chefs de service et responsables hiérarchiques, qui sont eux-mêmes évalués — cas particulier — par le Directeur général, appuyé par le Secrétaire général (cf. § 8.1).</w:t>
      </w:r>
    </w:p>
    <w:p>
      <w:pPr>
        <w:spacing w:after="120"/>
      </w:pPr>
      <w:r>
        <w:t xml:space="preserve">Règle de gestion — double évaluation : le système doit permettre de signaler, pour les agents relevant de la Fonction publique mis à disposition, qu'ils sont soumis à une notation statutaire complémentaire gérée hors du système (procédures de la Fonction publique). Le module doit simplement permettre d'enregistrer une référence/pièce jointe à cette notation externe dans le dossier de l'agent, sans en piloter le circuit.</w:t>
      </w:r>
    </w:p>
    <w:p>
      <w:pPr>
        <w:pStyle w:val="Heading2"/>
        <w:spacing w:after="150" w:before="300"/>
      </w:pPr>
      <w:r>
        <w:t xml:space="preserve">3.2. Périmètre fonctionnel couvert</w:t>
      </w:r>
    </w:p>
    <w:p>
      <w:pPr>
        <w:pStyle w:val="ListParagraph"/>
        <w:numPr>
          <w:ilvl w:val="0"/>
          <w:numId w:val="1"/>
        </w:numPr>
        <w:spacing w:after="60"/>
      </w:pPr>
      <w:r>
        <w:t xml:space="preserve">Paramétrage de campagne annuelle et des référentiels (critères, calendrier, structures) ;</w:t>
      </w:r>
    </w:p>
    <w:p>
      <w:pPr>
        <w:pStyle w:val="ListParagraph"/>
        <w:numPr>
          <w:ilvl w:val="0"/>
          <w:numId w:val="1"/>
        </w:numPr>
        <w:spacing w:after="60"/>
      </w:pPr>
      <w:r>
        <w:t xml:space="preserve">Lancement de campagne et génération de la note de service ;</w:t>
      </w:r>
    </w:p>
    <w:p>
      <w:pPr>
        <w:pStyle w:val="ListParagraph"/>
        <w:numPr>
          <w:ilvl w:val="0"/>
          <w:numId w:val="1"/>
        </w:numPr>
        <w:spacing w:after="60"/>
      </w:pPr>
      <w:r>
        <w:t xml:space="preserve">Diffusion et suivi des fiches d'évaluation aux responsables hiérarchiques selon l'organigramme ;</w:t>
      </w:r>
    </w:p>
    <w:p>
      <w:pPr>
        <w:pStyle w:val="ListParagraph"/>
        <w:numPr>
          <w:ilvl w:val="0"/>
          <w:numId w:val="1"/>
        </w:numPr>
        <w:spacing w:after="60"/>
      </w:pPr>
      <w:r>
        <w:t xml:space="preserve">Planification des entretiens ;</w:t>
      </w:r>
    </w:p>
    <w:p>
      <w:pPr>
        <w:pStyle w:val="ListParagraph"/>
        <w:numPr>
          <w:ilvl w:val="0"/>
          <w:numId w:val="1"/>
        </w:numPr>
        <w:spacing w:after="60"/>
      </w:pPr>
      <w:r>
        <w:t xml:space="preserve">Saisie de la notation, des commentaires, du plan d'action et double signature électronique ;</w:t>
      </w:r>
    </w:p>
    <w:p>
      <w:pPr>
        <w:pStyle w:val="ListParagraph"/>
        <w:numPr>
          <w:ilvl w:val="0"/>
          <w:numId w:val="1"/>
        </w:numPr>
        <w:spacing w:after="60"/>
      </w:pPr>
      <w:r>
        <w:t xml:space="preserve">Transmission, consolidation et synthèse des évaluations par structure ;</w:t>
      </w:r>
    </w:p>
    <w:p>
      <w:pPr>
        <w:pStyle w:val="ListParagraph"/>
        <w:numPr>
          <w:ilvl w:val="0"/>
          <w:numId w:val="1"/>
        </w:numPr>
        <w:spacing w:after="60"/>
      </w:pPr>
      <w:r>
        <w:t xml:space="preserve">Étude, annotation (dont décision de gratification) et validation par la Direction générale ;</w:t>
      </w:r>
    </w:p>
    <w:p>
      <w:pPr>
        <w:pStyle w:val="ListParagraph"/>
        <w:numPr>
          <w:ilvl w:val="0"/>
          <w:numId w:val="1"/>
        </w:numPr>
        <w:spacing w:after="60"/>
      </w:pPr>
      <w:r>
        <w:t xml:space="preserve">Notification individuelle des résultats aux agents ;</w:t>
      </w:r>
    </w:p>
    <w:p>
      <w:pPr>
        <w:pStyle w:val="ListParagraph"/>
        <w:numPr>
          <w:ilvl w:val="0"/>
          <w:numId w:val="1"/>
        </w:numPr>
        <w:spacing w:after="60"/>
      </w:pPr>
      <w:r>
        <w:t xml:space="preserve">Archivage, confidentialité et traçabilité de l'ensemble du dossier d'évaluation ;</w:t>
      </w:r>
    </w:p>
    <w:p>
      <w:pPr>
        <w:pStyle w:val="ListParagraph"/>
        <w:numPr>
          <w:ilvl w:val="0"/>
          <w:numId w:val="1"/>
        </w:numPr>
        <w:spacing w:after="60"/>
      </w:pPr>
      <w:r>
        <w:t xml:space="preserve">Tableaux de bord de suivi d'avancement, à tout moment de la campagne, pour chaque acteur selon son rôle.</w:t>
      </w:r>
    </w:p>
    <w:p>
      <w:pPr>
        <w:pStyle w:val="Heading2"/>
        <w:spacing w:after="150" w:before="300"/>
      </w:pPr>
      <w:r>
        <w:t xml:space="preserve">3.3. Hors périmètre (exclusions explicites)</w:t>
      </w:r>
    </w:p>
    <w:p>
      <w:pPr>
        <w:spacing w:after="120"/>
      </w:pPr>
      <w:r>
        <w:t xml:space="preserve">Conformément à la note de cadrage (« Toute disposition non prévue par le Manuel a été écartée »), sont explicitement hors périmètre du module :</w:t>
      </w:r>
    </w:p>
    <w:p>
      <w:pPr>
        <w:pStyle w:val="ListParagraph"/>
        <w:numPr>
          <w:ilvl w:val="0"/>
          <w:numId w:val="1"/>
        </w:numPr>
        <w:spacing w:after="60"/>
      </w:pPr>
      <w:r>
        <w:t xml:space="preserve">La notation statutaire de la Fonction publique (gérée par la Direction générale de la Fonction publique, hors NiidPro) ;</w:t>
      </w:r>
    </w:p>
    <w:p>
      <w:pPr>
        <w:pStyle w:val="ListParagraph"/>
        <w:numPr>
          <w:ilvl w:val="0"/>
          <w:numId w:val="1"/>
        </w:numPr>
        <w:spacing w:after="60"/>
      </w:pPr>
      <w:r>
        <w:t xml:space="preserve">Toute procédure disciplinaire (l'évaluation ne doit jamais alimenter automatiquement un module disciplinaire) ;</w:t>
      </w:r>
    </w:p>
    <w:p>
      <w:pPr>
        <w:pStyle w:val="ListParagraph"/>
        <w:numPr>
          <w:ilvl w:val="0"/>
          <w:numId w:val="1"/>
        </w:numPr>
        <w:spacing w:after="60"/>
      </w:pPr>
      <w:r>
        <w:t xml:space="preserve">Le calcul ou la gestion de la paie liée à une éventuelle gratification — le module se limite à enregistrer la décision de gratification prise par le DG ; son exécution relève du module Paie de NiidPro, via une interface à définir ultérieurement (cf. § 8.4).</w:t>
      </w:r>
    </w:p>
    <w:p>
      <w:pPr>
        <w:pStyle w:val="Heading1"/>
        <w:spacing w:after="200" w:before="400"/>
      </w:pPr>
      <w:r>
        <w:t xml:space="preserve">4. Référentiels et paramétrage préalable</w:t>
      </w:r>
    </w:p>
    <w:p>
      <w:pPr>
        <w:spacing w:after="120"/>
      </w:pPr>
      <w:r>
        <w:t xml:space="preserve">Avant le lancement de toute campagne, l'administrateur fonctionnel du module (profil « Administrateur RH ») doit pouvoir paramétrer les référentiels suivants, réutilisables d'une campagne à l'autre :</w:t>
      </w:r>
    </w:p>
    <w:p>
      <w:pPr>
        <w:pStyle w:val="Heading2"/>
        <w:spacing w:after="150" w:before="300"/>
      </w:pPr>
      <w:r>
        <w:t xml:space="preserve">4.1. Référentiel des critères d'évaluation</w:t>
      </w:r>
    </w:p>
    <w:p>
      <w:pPr>
        <w:spacing w:after="120"/>
      </w:pPr>
      <w:r>
        <w:t xml:space="preserve">Conformément au Chapitre IV, Section B (page 67) du Manuel, deux jeux de critères doivent être paramétrés et rattachables conditionnellement au profil statutaire de l'agent :</w:t>
      </w:r>
    </w:p>
    <w:p>
      <w:pPr>
        <w:pStyle w:val="Heading3"/>
        <w:spacing w:after="100" w:before="200"/>
      </w:pPr>
      <w:r>
        <w:t xml:space="preserve">4.1.1. Critères socles (applicables à tout le personnel)</w:t>
      </w:r>
    </w:p>
    <w:p>
      <w:pPr>
        <w:pStyle w:val="ListParagraph"/>
        <w:numPr>
          <w:ilvl w:val="0"/>
          <w:numId w:val="1"/>
        </w:numPr>
        <w:spacing w:after="60"/>
      </w:pPr>
      <w:r>
        <w:t xml:space="preserve">Assiduité au travail et conduite</w:t>
      </w:r>
    </w:p>
    <w:p>
      <w:pPr>
        <w:pStyle w:val="ListParagraph"/>
        <w:numPr>
          <w:ilvl w:val="0"/>
          <w:numId w:val="1"/>
        </w:numPr>
        <w:spacing w:after="60"/>
      </w:pPr>
      <w:r>
        <w:t xml:space="preserve">Ponctualité</w:t>
      </w:r>
    </w:p>
    <w:p>
      <w:pPr>
        <w:pStyle w:val="ListParagraph"/>
        <w:numPr>
          <w:ilvl w:val="0"/>
          <w:numId w:val="1"/>
        </w:numPr>
        <w:spacing w:after="60"/>
      </w:pPr>
      <w:r>
        <w:t xml:space="preserve">Célérité dans l'accomplissement des tâches</w:t>
      </w:r>
    </w:p>
    <w:p>
      <w:pPr>
        <w:pStyle w:val="ListParagraph"/>
        <w:numPr>
          <w:ilvl w:val="0"/>
          <w:numId w:val="1"/>
        </w:numPr>
        <w:spacing w:after="60"/>
      </w:pPr>
      <w:r>
        <w:t xml:space="preserve">Esprit d'initiative</w:t>
      </w:r>
    </w:p>
    <w:p>
      <w:pPr>
        <w:pStyle w:val="ListParagraph"/>
        <w:numPr>
          <w:ilvl w:val="0"/>
          <w:numId w:val="1"/>
        </w:numPr>
        <w:spacing w:after="60"/>
      </w:pPr>
      <w:r>
        <w:t xml:space="preserve">Sens des responsabilités</w:t>
      </w:r>
    </w:p>
    <w:p>
      <w:pPr>
        <w:pStyle w:val="ListParagraph"/>
        <w:numPr>
          <w:ilvl w:val="0"/>
          <w:numId w:val="1"/>
        </w:numPr>
        <w:spacing w:after="60"/>
      </w:pPr>
      <w:r>
        <w:t xml:space="preserve">Relations humaines</w:t>
      </w:r>
    </w:p>
    <w:p>
      <w:pPr>
        <w:pStyle w:val="ListParagraph"/>
        <w:numPr>
          <w:ilvl w:val="0"/>
          <w:numId w:val="1"/>
        </w:numPr>
        <w:spacing w:after="60"/>
      </w:pPr>
      <w:r>
        <w:t xml:space="preserve">Engagement dans les projets, programmes et activités de l'ANASER</w:t>
      </w:r>
    </w:p>
    <w:p>
      <w:pPr>
        <w:pStyle w:val="Heading3"/>
        <w:spacing w:after="100" w:before="200"/>
      </w:pPr>
      <w:r>
        <w:t xml:space="preserve">4.1.2. Critères complémentaires (agents mis à disposition par l'État)</w:t>
      </w:r>
    </w:p>
    <w:p>
      <w:pPr>
        <w:pStyle w:val="ListParagraph"/>
        <w:numPr>
          <w:ilvl w:val="0"/>
          <w:numId w:val="1"/>
        </w:numPr>
        <w:spacing w:after="60"/>
      </w:pPr>
      <w:r>
        <w:t xml:space="preserve">Conscience professionnelle</w:t>
      </w:r>
    </w:p>
    <w:p>
      <w:pPr>
        <w:pStyle w:val="ListParagraph"/>
        <w:numPr>
          <w:ilvl w:val="0"/>
          <w:numId w:val="1"/>
        </w:numPr>
        <w:spacing w:after="60"/>
      </w:pPr>
      <w:r>
        <w:t xml:space="preserve">Bonne conduite</w:t>
      </w:r>
    </w:p>
    <w:p>
      <w:pPr>
        <w:pStyle w:val="ListParagraph"/>
        <w:numPr>
          <w:ilvl w:val="0"/>
          <w:numId w:val="1"/>
        </w:numPr>
        <w:spacing w:after="60"/>
      </w:pPr>
      <w:r>
        <w:t xml:space="preserve">Respect du secret professionnel</w:t>
      </w:r>
    </w:p>
    <w:p>
      <w:pPr>
        <w:pStyle w:val="ListParagraph"/>
        <w:numPr>
          <w:ilvl w:val="0"/>
          <w:numId w:val="1"/>
        </w:numPr>
        <w:spacing w:after="60"/>
      </w:pPr>
      <w:r>
        <w:t xml:space="preserve">Tâches dévolues à l'agent</w:t>
      </w:r>
    </w:p>
    <w:p>
      <w:pPr>
        <w:pStyle w:val="ListParagraph"/>
        <w:numPr>
          <w:ilvl w:val="0"/>
          <w:numId w:val="1"/>
        </w:numPr>
        <w:spacing w:after="60"/>
      </w:pPr>
      <w:r>
        <w:t xml:space="preserve">Sens de l'engagement</w:t>
      </w:r>
    </w:p>
    <w:p>
      <w:pPr>
        <w:pStyle w:val="ListParagraph"/>
        <w:numPr>
          <w:ilvl w:val="0"/>
          <w:numId w:val="1"/>
        </w:numPr>
        <w:spacing w:after="60"/>
      </w:pPr>
      <w:r>
        <w:t xml:space="preserve">Respect de l'autorité et de la hiérarchie</w:t>
      </w:r>
    </w:p>
    <w:p>
      <w:pPr>
        <w:spacing w:after="120"/>
      </w:pPr>
      <w:r>
        <w:t xml:space="preserve">Règle de gestion : le système doit déterminer automatiquement, à la génération de la fiche, si les critères complémentaires s'appliquent, sur la base du champ « Catégorie statutaire = Mis à disposition par l'État / Fonction publique » de la fiche agent. Chaque critère est noté sur une échelle paramétrable (par défaut 1 à 5, avec libellés) et assorti d'une zone de commentaire libre. Le référentiel de critères est verrouillé (non modifiable) dès qu'une campagne utilisant ce référentiel est lancée, afin de garantir l'homogénéité des évaluations d'une même campagne ; toute modification donne lieu à une nouvelle version du référentiel, applicable aux campagnes futures uniquement.</w:t>
      </w:r>
    </w:p>
    <w:p>
      <w:pPr>
        <w:pStyle w:val="Heading2"/>
        <w:spacing w:after="150" w:before="300"/>
      </w:pPr>
      <w:r>
        <w:t xml:space="preserve">4.2. Référentiel des structures / organigramme</w:t>
      </w:r>
    </w:p>
    <w:p>
      <w:pPr>
        <w:spacing w:after="120"/>
      </w:pPr>
      <w:r>
        <w:t xml:space="preserve">Le module s'appuie sur l'organigramme déjà présent dans NiidPro (structures, services, postes, liens hiérarchiques N+1) pour déterminer automatiquement, pour chaque agent, son responsable hiérarchique évaluateur. Le module doit permettre de vérifier, avant le lancement de la campagne, l'exhaustivité de ce rattachement (aucun agent actif sans responsable hiérarchique désigné) et de générer un rapport des anomalies à corriger avant lancement.</w:t>
      </w:r>
    </w:p>
    <w:p>
      <w:pPr>
        <w:pStyle w:val="Heading2"/>
        <w:spacing w:after="150" w:before="300"/>
      </w:pPr>
      <w:r>
        <w:t xml:space="preserve">4.3. Référentiel du calendrier de campagne</w:t>
      </w:r>
    </w:p>
    <w:p>
      <w:pPr>
        <w:spacing w:after="120"/>
      </w:pPr>
      <w:r>
        <w:t xml:space="preserve">Conformément à l'article « Calendrier de la campagne » de la note de cadrage, aucune échéance chiffrée n'est imposée par le Manuel ; seule la clôture avant la fin de l'exercice est une contrainte absolue. Le module doit donc permettre, à chaque campagne, de définir librement (avec les valeurs indicatives 2026 pré-remplies à titre d'exemple) les périodes cibles suivantes, chacune associée à une sous-procédure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2600"/>
        <w:gridCol w:w="2500"/>
      </w:tblGrid>
      <w:tr>
        <w:trPr>
          <w:tblHeader/>
        </w:trPr>
        <w:tc>
          <w:tcPr>
            <w:tcW w:type="dxa" w:w="700"/>
            <w:shd w:fill="1F3864" w:val="clear"/>
            <w:tcMar>
              <w:top w:type="dxa" w:w="80"/>
              <w:left w:type="dxa" w:w="100"/>
              <w:bottom w:type="dxa" w:w="80"/>
              <w:right w:type="dxa" w:w="100"/>
            </w:tcMar>
            <w:vAlign w:val="center"/>
          </w:tcPr>
          <w:p>
            <w:pPr>
              <w:jc w:val="left"/>
            </w:pPr>
            <w:r>
              <w:rPr>
                <w:b/>
                <w:bCs/>
                <w:color w:val="FFFFFF"/>
                <w:sz w:val="19"/>
                <w:szCs w:val="19"/>
              </w:rPr>
              <w:t xml:space="preserve">N°</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Sous-procédure</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Acteur(s)</w:t>
            </w:r>
          </w:p>
        </w:tc>
        <w:tc>
          <w:tcPr>
            <w:tcW w:type="dxa" w:w="2500"/>
            <w:shd w:fill="1F3864" w:val="clear"/>
            <w:tcMar>
              <w:top w:type="dxa" w:w="80"/>
              <w:left w:type="dxa" w:w="100"/>
              <w:bottom w:type="dxa" w:w="80"/>
              <w:right w:type="dxa" w:w="100"/>
            </w:tcMar>
            <w:vAlign w:val="center"/>
          </w:tcPr>
          <w:p>
            <w:pPr>
              <w:jc w:val="left"/>
            </w:pPr>
            <w:r>
              <w:rPr>
                <w:b/>
                <w:bCs/>
                <w:color w:val="FFFFFF"/>
                <w:sz w:val="19"/>
                <w:szCs w:val="19"/>
              </w:rPr>
              <w:t xml:space="preserve">Période indicative 2026</w:t>
            </w:r>
          </w:p>
        </w:tc>
      </w:tr>
      <w:tr>
        <w:tc>
          <w:tcPr>
            <w:tcW w:type="dxa" w:w="700"/>
            <w:shd w:fill="FFFFFF" w:val="clear"/>
            <w:tcMar>
              <w:top w:type="dxa" w:w="80"/>
              <w:left w:type="dxa" w:w="100"/>
              <w:bottom w:type="dxa" w:w="80"/>
              <w:right w:type="dxa" w:w="100"/>
            </w:tcMar>
            <w:vAlign w:val="center"/>
          </w:tcPr>
          <w:p>
            <w:pPr>
              <w:jc w:val="left"/>
            </w:pPr>
            <w:r>
              <w:rPr>
                <w:b w:val="false"/>
                <w:bCs w:val="false"/>
                <w:sz w:val="19"/>
                <w:szCs w:val="19"/>
              </w:rPr>
              <w:t xml:space="preserve">1</w:t>
            </w:r>
          </w:p>
        </w:tc>
        <w:tc>
          <w:tcPr>
            <w:tcW w:type="dxa" w:w="4200"/>
            <w:shd w:fill="FFFFFF" w:val="clear"/>
            <w:tcMar>
              <w:top w:type="dxa" w:w="80"/>
              <w:left w:type="dxa" w:w="100"/>
              <w:bottom w:type="dxa" w:w="80"/>
              <w:right w:type="dxa" w:w="100"/>
            </w:tcMar>
            <w:vAlign w:val="center"/>
          </w:tcPr>
          <w:p>
            <w:pPr>
              <w:jc w:val="left"/>
            </w:pPr>
            <w:r>
              <w:rPr>
                <w:b w:val="false"/>
                <w:bCs w:val="false"/>
                <w:sz w:val="19"/>
                <w:szCs w:val="19"/>
              </w:rPr>
              <w:t xml:space="preserve">Lancement de la campagne (note de service + diffusion des fiches)</w:t>
            </w:r>
          </w:p>
        </w:tc>
        <w:tc>
          <w:tcPr>
            <w:tcW w:type="dxa" w:w="2600"/>
            <w:shd w:fill="FFFFFF" w:val="clear"/>
            <w:tcMar>
              <w:top w:type="dxa" w:w="80"/>
              <w:left w:type="dxa" w:w="100"/>
              <w:bottom w:type="dxa" w:w="80"/>
              <w:right w:type="dxa" w:w="100"/>
            </w:tcMar>
            <w:vAlign w:val="center"/>
          </w:tcPr>
          <w:p>
            <w:pPr>
              <w:jc w:val="left"/>
            </w:pPr>
            <w:r>
              <w:rPr>
                <w:b w:val="false"/>
                <w:bCs w:val="false"/>
                <w:sz w:val="19"/>
                <w:szCs w:val="19"/>
              </w:rPr>
              <w:t xml:space="preserve">DG / SG</w:t>
            </w:r>
          </w:p>
        </w:tc>
        <w:tc>
          <w:tcPr>
            <w:tcW w:type="dxa" w:w="2500"/>
            <w:shd w:fill="FFFFFF" w:val="clear"/>
            <w:tcMar>
              <w:top w:type="dxa" w:w="80"/>
              <w:left w:type="dxa" w:w="100"/>
              <w:bottom w:type="dxa" w:w="80"/>
              <w:right w:type="dxa" w:w="100"/>
            </w:tcMar>
            <w:vAlign w:val="center"/>
          </w:tcPr>
          <w:p>
            <w:pPr>
              <w:jc w:val="left"/>
            </w:pPr>
            <w:r>
              <w:rPr>
                <w:b w:val="false"/>
                <w:bCs w:val="false"/>
                <w:sz w:val="19"/>
                <w:szCs w:val="19"/>
              </w:rPr>
              <w:t xml:space="preserve">Octobre 2026</w:t>
            </w:r>
          </w:p>
        </w:tc>
      </w:tr>
      <w:tr>
        <w:tc>
          <w:tcPr>
            <w:tcW w:type="dxa" w:w="700"/>
            <w:shd w:fill="F2F2F2" w:val="clear"/>
            <w:tcMar>
              <w:top w:type="dxa" w:w="80"/>
              <w:left w:type="dxa" w:w="100"/>
              <w:bottom w:type="dxa" w:w="80"/>
              <w:right w:type="dxa" w:w="100"/>
            </w:tcMar>
            <w:vAlign w:val="center"/>
          </w:tcPr>
          <w:p>
            <w:pPr>
              <w:jc w:val="left"/>
            </w:pPr>
            <w:r>
              <w:rPr>
                <w:b w:val="false"/>
                <w:bCs w:val="false"/>
                <w:sz w:val="19"/>
                <w:szCs w:val="19"/>
              </w:rPr>
              <w:t xml:space="preserve">2</w:t>
            </w:r>
          </w:p>
        </w:tc>
        <w:tc>
          <w:tcPr>
            <w:tcW w:type="dxa" w:w="4200"/>
            <w:shd w:fill="F2F2F2" w:val="clear"/>
            <w:tcMar>
              <w:top w:type="dxa" w:w="80"/>
              <w:left w:type="dxa" w:w="100"/>
              <w:bottom w:type="dxa" w:w="80"/>
              <w:right w:type="dxa" w:w="100"/>
            </w:tcMar>
            <w:vAlign w:val="center"/>
          </w:tcPr>
          <w:p>
            <w:pPr>
              <w:jc w:val="left"/>
            </w:pPr>
            <w:r>
              <w:rPr>
                <w:b w:val="false"/>
                <w:bCs w:val="false"/>
                <w:sz w:val="19"/>
                <w:szCs w:val="19"/>
              </w:rPr>
              <w:t xml:space="preserve">Planification des entretiens par les responsables hiérarchiques</w:t>
            </w:r>
          </w:p>
        </w:tc>
        <w:tc>
          <w:tcPr>
            <w:tcW w:type="dxa" w:w="2600"/>
            <w:shd w:fill="F2F2F2" w:val="clear"/>
            <w:tcMar>
              <w:top w:type="dxa" w:w="80"/>
              <w:left w:type="dxa" w:w="100"/>
              <w:bottom w:type="dxa" w:w="80"/>
              <w:right w:type="dxa" w:w="100"/>
            </w:tcMar>
            <w:vAlign w:val="center"/>
          </w:tcPr>
          <w:p>
            <w:pPr>
              <w:jc w:val="left"/>
            </w:pPr>
            <w:r>
              <w:rPr>
                <w:b w:val="false"/>
                <w:bCs w:val="false"/>
                <w:sz w:val="19"/>
                <w:szCs w:val="19"/>
              </w:rPr>
              <w:t xml:space="preserve">Responsables hiérarchiques</w:t>
            </w:r>
          </w:p>
        </w:tc>
        <w:tc>
          <w:tcPr>
            <w:tcW w:type="dxa" w:w="2500"/>
            <w:shd w:fill="F2F2F2" w:val="clear"/>
            <w:tcMar>
              <w:top w:type="dxa" w:w="80"/>
              <w:left w:type="dxa" w:w="100"/>
              <w:bottom w:type="dxa" w:w="80"/>
              <w:right w:type="dxa" w:w="100"/>
            </w:tcMar>
            <w:vAlign w:val="center"/>
          </w:tcPr>
          <w:p>
            <w:pPr>
              <w:jc w:val="left"/>
            </w:pPr>
            <w:r>
              <w:rPr>
                <w:b w:val="false"/>
                <w:bCs w:val="false"/>
                <w:sz w:val="19"/>
                <w:szCs w:val="19"/>
              </w:rPr>
              <w:t xml:space="preserve">Octobre 2026</w:t>
            </w:r>
          </w:p>
        </w:tc>
      </w:tr>
      <w:tr>
        <w:tc>
          <w:tcPr>
            <w:tcW w:type="dxa" w:w="700"/>
            <w:shd w:fill="FFFFFF" w:val="clear"/>
            <w:tcMar>
              <w:top w:type="dxa" w:w="80"/>
              <w:left w:type="dxa" w:w="100"/>
              <w:bottom w:type="dxa" w:w="80"/>
              <w:right w:type="dxa" w:w="100"/>
            </w:tcMar>
            <w:vAlign w:val="center"/>
          </w:tcPr>
          <w:p>
            <w:pPr>
              <w:jc w:val="left"/>
            </w:pPr>
            <w:r>
              <w:rPr>
                <w:b w:val="false"/>
                <w:bCs w:val="false"/>
                <w:sz w:val="19"/>
                <w:szCs w:val="19"/>
              </w:rPr>
              <w:t xml:space="preserve">3</w:t>
            </w:r>
          </w:p>
        </w:tc>
        <w:tc>
          <w:tcPr>
            <w:tcW w:type="dxa" w:w="4200"/>
            <w:shd w:fill="FFFFFF" w:val="clear"/>
            <w:tcMar>
              <w:top w:type="dxa" w:w="80"/>
              <w:left w:type="dxa" w:w="100"/>
              <w:bottom w:type="dxa" w:w="80"/>
              <w:right w:type="dxa" w:w="100"/>
            </w:tcMar>
            <w:vAlign w:val="center"/>
          </w:tcPr>
          <w:p>
            <w:pPr>
              <w:jc w:val="left"/>
            </w:pPr>
            <w:r>
              <w:rPr>
                <w:b w:val="false"/>
                <w:bCs w:val="false"/>
                <w:sz w:val="19"/>
                <w:szCs w:val="19"/>
              </w:rPr>
              <w:t xml:space="preserve">Conduite des entretiens et notation en présence de l'évalué</w:t>
            </w:r>
          </w:p>
        </w:tc>
        <w:tc>
          <w:tcPr>
            <w:tcW w:type="dxa" w:w="2600"/>
            <w:shd w:fill="FFFFFF" w:val="clear"/>
            <w:tcMar>
              <w:top w:type="dxa" w:w="80"/>
              <w:left w:type="dxa" w:w="100"/>
              <w:bottom w:type="dxa" w:w="80"/>
              <w:right w:type="dxa" w:w="100"/>
            </w:tcMar>
            <w:vAlign w:val="center"/>
          </w:tcPr>
          <w:p>
            <w:pPr>
              <w:jc w:val="left"/>
            </w:pPr>
            <w:r>
              <w:rPr>
                <w:b w:val="false"/>
                <w:bCs w:val="false"/>
                <w:sz w:val="19"/>
                <w:szCs w:val="19"/>
              </w:rPr>
              <w:t xml:space="preserve">Responsables hiérarchiques</w:t>
            </w:r>
          </w:p>
        </w:tc>
        <w:tc>
          <w:tcPr>
            <w:tcW w:type="dxa" w:w="2500"/>
            <w:shd w:fill="FFFFFF" w:val="clear"/>
            <w:tcMar>
              <w:top w:type="dxa" w:w="80"/>
              <w:left w:type="dxa" w:w="100"/>
              <w:bottom w:type="dxa" w:w="80"/>
              <w:right w:type="dxa" w:w="100"/>
            </w:tcMar>
            <w:vAlign w:val="center"/>
          </w:tcPr>
          <w:p>
            <w:pPr>
              <w:jc w:val="left"/>
            </w:pPr>
            <w:r>
              <w:rPr>
                <w:b w:val="false"/>
                <w:bCs w:val="false"/>
                <w:sz w:val="19"/>
                <w:szCs w:val="19"/>
              </w:rPr>
              <w:t xml:space="preserve">Novembre 2026</w:t>
            </w:r>
          </w:p>
        </w:tc>
      </w:tr>
      <w:tr>
        <w:tc>
          <w:tcPr>
            <w:tcW w:type="dxa" w:w="700"/>
            <w:shd w:fill="F2F2F2" w:val="clear"/>
            <w:tcMar>
              <w:top w:type="dxa" w:w="80"/>
              <w:left w:type="dxa" w:w="100"/>
              <w:bottom w:type="dxa" w:w="80"/>
              <w:right w:type="dxa" w:w="100"/>
            </w:tcMar>
            <w:vAlign w:val="center"/>
          </w:tcPr>
          <w:p>
            <w:pPr>
              <w:jc w:val="left"/>
            </w:pPr>
            <w:r>
              <w:rPr>
                <w:b w:val="false"/>
                <w:bCs w:val="false"/>
                <w:sz w:val="19"/>
                <w:szCs w:val="19"/>
              </w:rPr>
              <w:t xml:space="preserve">4</w:t>
            </w:r>
          </w:p>
        </w:tc>
        <w:tc>
          <w:tcPr>
            <w:tcW w:type="dxa" w:w="4200"/>
            <w:shd w:fill="F2F2F2" w:val="clear"/>
            <w:tcMar>
              <w:top w:type="dxa" w:w="80"/>
              <w:left w:type="dxa" w:w="100"/>
              <w:bottom w:type="dxa" w:w="80"/>
              <w:right w:type="dxa" w:w="100"/>
            </w:tcMar>
            <w:vAlign w:val="center"/>
          </w:tcPr>
          <w:p>
            <w:pPr>
              <w:jc w:val="left"/>
            </w:pPr>
            <w:r>
              <w:rPr>
                <w:b w:val="false"/>
                <w:bCs w:val="false"/>
                <w:sz w:val="19"/>
                <w:szCs w:val="19"/>
              </w:rPr>
              <w:t xml:space="preserve">Transmission des fiches au DAF / Division RH et élaboration du tableau de synthèse</w:t>
            </w:r>
          </w:p>
        </w:tc>
        <w:tc>
          <w:tcPr>
            <w:tcW w:type="dxa" w:w="2600"/>
            <w:shd w:fill="F2F2F2" w:val="clear"/>
            <w:tcMar>
              <w:top w:type="dxa" w:w="80"/>
              <w:left w:type="dxa" w:w="100"/>
              <w:bottom w:type="dxa" w:w="80"/>
              <w:right w:type="dxa" w:w="100"/>
            </w:tcMar>
            <w:vAlign w:val="center"/>
          </w:tcPr>
          <w:p>
            <w:pPr>
              <w:jc w:val="left"/>
            </w:pPr>
            <w:r>
              <w:rPr>
                <w:b w:val="false"/>
                <w:bCs w:val="false"/>
                <w:sz w:val="19"/>
                <w:szCs w:val="19"/>
              </w:rPr>
              <w:t xml:space="preserve">DAF / Division RH</w:t>
            </w:r>
          </w:p>
        </w:tc>
        <w:tc>
          <w:tcPr>
            <w:tcW w:type="dxa" w:w="2500"/>
            <w:shd w:fill="F2F2F2" w:val="clear"/>
            <w:tcMar>
              <w:top w:type="dxa" w:w="80"/>
              <w:left w:type="dxa" w:w="100"/>
              <w:bottom w:type="dxa" w:w="80"/>
              <w:right w:type="dxa" w:w="100"/>
            </w:tcMar>
            <w:vAlign w:val="center"/>
          </w:tcPr>
          <w:p>
            <w:pPr>
              <w:jc w:val="left"/>
            </w:pPr>
            <w:r>
              <w:rPr>
                <w:b w:val="false"/>
                <w:bCs w:val="false"/>
                <w:sz w:val="19"/>
                <w:szCs w:val="19"/>
              </w:rPr>
              <w:t xml:space="preserve">Novembre 2026</w:t>
            </w:r>
          </w:p>
        </w:tc>
      </w:tr>
      <w:tr>
        <w:tc>
          <w:tcPr>
            <w:tcW w:type="dxa" w:w="700"/>
            <w:shd w:fill="FFFFFF" w:val="clear"/>
            <w:tcMar>
              <w:top w:type="dxa" w:w="80"/>
              <w:left w:type="dxa" w:w="100"/>
              <w:bottom w:type="dxa" w:w="80"/>
              <w:right w:type="dxa" w:w="100"/>
            </w:tcMar>
            <w:vAlign w:val="center"/>
          </w:tcPr>
          <w:p>
            <w:pPr>
              <w:jc w:val="left"/>
            </w:pPr>
            <w:r>
              <w:rPr>
                <w:b w:val="false"/>
                <w:bCs w:val="false"/>
                <w:sz w:val="19"/>
                <w:szCs w:val="19"/>
              </w:rPr>
              <w:t xml:space="preserve">5</w:t>
            </w:r>
          </w:p>
        </w:tc>
        <w:tc>
          <w:tcPr>
            <w:tcW w:type="dxa" w:w="4200"/>
            <w:shd w:fill="FFFFFF" w:val="clear"/>
            <w:tcMar>
              <w:top w:type="dxa" w:w="80"/>
              <w:left w:type="dxa" w:w="100"/>
              <w:bottom w:type="dxa" w:w="80"/>
              <w:right w:type="dxa" w:w="100"/>
            </w:tcMar>
            <w:vAlign w:val="center"/>
          </w:tcPr>
          <w:p>
            <w:pPr>
              <w:jc w:val="left"/>
            </w:pPr>
            <w:r>
              <w:rPr>
                <w:b w:val="false"/>
                <w:bCs w:val="false"/>
                <w:sz w:val="19"/>
                <w:szCs w:val="19"/>
              </w:rPr>
              <w:t xml:space="preserve">Examen du rapport de synthèse et décision du DG</w:t>
            </w:r>
          </w:p>
        </w:tc>
        <w:tc>
          <w:tcPr>
            <w:tcW w:type="dxa" w:w="2600"/>
            <w:shd w:fill="FFFFFF" w:val="clear"/>
            <w:tcMar>
              <w:top w:type="dxa" w:w="80"/>
              <w:left w:type="dxa" w:w="100"/>
              <w:bottom w:type="dxa" w:w="80"/>
              <w:right w:type="dxa" w:w="100"/>
            </w:tcMar>
            <w:vAlign w:val="center"/>
          </w:tcPr>
          <w:p>
            <w:pPr>
              <w:jc w:val="left"/>
            </w:pPr>
            <w:r>
              <w:rPr>
                <w:b w:val="false"/>
                <w:bCs w:val="false"/>
                <w:sz w:val="19"/>
                <w:szCs w:val="19"/>
              </w:rPr>
              <w:t xml:space="preserve">DG / SG</w:t>
            </w:r>
          </w:p>
        </w:tc>
        <w:tc>
          <w:tcPr>
            <w:tcW w:type="dxa" w:w="2500"/>
            <w:shd w:fill="FFFFFF" w:val="clear"/>
            <w:tcMar>
              <w:top w:type="dxa" w:w="80"/>
              <w:left w:type="dxa" w:w="100"/>
              <w:bottom w:type="dxa" w:w="80"/>
              <w:right w:type="dxa" w:w="100"/>
            </w:tcMar>
            <w:vAlign w:val="center"/>
          </w:tcPr>
          <w:p>
            <w:pPr>
              <w:jc w:val="left"/>
            </w:pPr>
            <w:r>
              <w:rPr>
                <w:b w:val="false"/>
                <w:bCs w:val="false"/>
                <w:sz w:val="19"/>
                <w:szCs w:val="19"/>
              </w:rPr>
              <w:t xml:space="preserve">Décembre 2026</w:t>
            </w:r>
          </w:p>
        </w:tc>
      </w:tr>
      <w:tr>
        <w:tc>
          <w:tcPr>
            <w:tcW w:type="dxa" w:w="700"/>
            <w:shd w:fill="F2F2F2" w:val="clear"/>
            <w:tcMar>
              <w:top w:type="dxa" w:w="80"/>
              <w:left w:type="dxa" w:w="100"/>
              <w:bottom w:type="dxa" w:w="80"/>
              <w:right w:type="dxa" w:w="100"/>
            </w:tcMar>
            <w:vAlign w:val="center"/>
          </w:tcPr>
          <w:p>
            <w:pPr>
              <w:jc w:val="left"/>
            </w:pPr>
            <w:r>
              <w:rPr>
                <w:b w:val="false"/>
                <w:bCs w:val="false"/>
                <w:sz w:val="19"/>
                <w:szCs w:val="19"/>
              </w:rPr>
              <w:t xml:space="preserve">6</w:t>
            </w:r>
          </w:p>
        </w:tc>
        <w:tc>
          <w:tcPr>
            <w:tcW w:type="dxa" w:w="4200"/>
            <w:shd w:fill="F2F2F2" w:val="clear"/>
            <w:tcMar>
              <w:top w:type="dxa" w:w="80"/>
              <w:left w:type="dxa" w:w="100"/>
              <w:bottom w:type="dxa" w:w="80"/>
              <w:right w:type="dxa" w:w="100"/>
            </w:tcMar>
            <w:vAlign w:val="center"/>
          </w:tcPr>
          <w:p>
            <w:pPr>
              <w:jc w:val="left"/>
            </w:pPr>
            <w:r>
              <w:rPr>
                <w:b w:val="false"/>
                <w:bCs w:val="false"/>
                <w:sz w:val="19"/>
                <w:szCs w:val="19"/>
              </w:rPr>
              <w:t xml:space="preserve">Notification des résultats aux agents</w:t>
            </w:r>
          </w:p>
        </w:tc>
        <w:tc>
          <w:tcPr>
            <w:tcW w:type="dxa" w:w="2600"/>
            <w:shd w:fill="F2F2F2" w:val="clear"/>
            <w:tcMar>
              <w:top w:type="dxa" w:w="80"/>
              <w:left w:type="dxa" w:w="100"/>
              <w:bottom w:type="dxa" w:w="80"/>
              <w:right w:type="dxa" w:w="100"/>
            </w:tcMar>
            <w:vAlign w:val="center"/>
          </w:tcPr>
          <w:p>
            <w:pPr>
              <w:jc w:val="left"/>
            </w:pPr>
            <w:r>
              <w:rPr>
                <w:b w:val="false"/>
                <w:bCs w:val="false"/>
                <w:sz w:val="19"/>
                <w:szCs w:val="19"/>
              </w:rPr>
              <w:t xml:space="preserve">DAF</w:t>
            </w:r>
          </w:p>
        </w:tc>
        <w:tc>
          <w:tcPr>
            <w:tcW w:type="dxa" w:w="2500"/>
            <w:shd w:fill="F2F2F2" w:val="clear"/>
            <w:tcMar>
              <w:top w:type="dxa" w:w="80"/>
              <w:left w:type="dxa" w:w="100"/>
              <w:bottom w:type="dxa" w:w="80"/>
              <w:right w:type="dxa" w:w="100"/>
            </w:tcMar>
            <w:vAlign w:val="center"/>
          </w:tcPr>
          <w:p>
            <w:pPr>
              <w:jc w:val="left"/>
            </w:pPr>
            <w:r>
              <w:rPr>
                <w:b w:val="false"/>
                <w:bCs w:val="false"/>
                <w:sz w:val="19"/>
                <w:szCs w:val="19"/>
              </w:rPr>
              <w:t xml:space="preserve">Décembre 2026</w:t>
            </w:r>
          </w:p>
        </w:tc>
      </w:tr>
    </w:tbl>
    <w:p>
      <w:pPr>
        <w:spacing w:after="120"/>
      </w:pPr>
      <w:r>
        <w:t xml:space="preserve"/>
      </w:r>
    </w:p>
    <w:p>
      <w:pPr>
        <w:spacing w:after="120"/>
      </w:pPr>
      <w:r>
        <w:t xml:space="preserve">Le module doit alerter automatiquement (tableau de bord + notification) si la date de clôture paramétrée de la campagne (fin d'exercice) risque de ne pas être respectée compte tenu du taux d'avancement constaté.</w:t>
      </w:r>
    </w:p>
    <w:p>
      <w:pPr>
        <w:pStyle w:val="Heading1"/>
        <w:spacing w:after="200" w:before="400"/>
      </w:pPr>
      <w:r>
        <w:t xml:space="preserve">5. Acteurs, rôles et droits d'accès</w:t>
      </w:r>
    </w:p>
    <w:p>
      <w:pPr>
        <w:spacing w:after="120"/>
      </w:pPr>
      <w:r>
        <w:t xml:space="preserve">Conformément au tableau des acteurs et responsabilités de la note de cadrage (Manuel, page 100), le module doit définir les profils applicatifs suivants, avec les droits d'accès associés (principe du moindre privilège)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0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Rôle applicatif</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Correspondance métier</w:t>
            </w:r>
          </w:p>
        </w:tc>
        <w:tc>
          <w:tcPr>
            <w:tcW w:type="dxa" w:w="4400"/>
            <w:shd w:fill="1F3864" w:val="clear"/>
            <w:tcMar>
              <w:top w:type="dxa" w:w="80"/>
              <w:left w:type="dxa" w:w="100"/>
              <w:bottom w:type="dxa" w:w="80"/>
              <w:right w:type="dxa" w:w="100"/>
            </w:tcMar>
            <w:vAlign w:val="center"/>
          </w:tcPr>
          <w:p>
            <w:pPr>
              <w:jc w:val="left"/>
            </w:pPr>
            <w:r>
              <w:rPr>
                <w:b/>
                <w:bCs/>
                <w:color w:val="FFFFFF"/>
                <w:sz w:val="19"/>
                <w:szCs w:val="19"/>
              </w:rPr>
              <w:t xml:space="preserve">Droits principaux</w:t>
            </w:r>
          </w:p>
        </w:tc>
      </w:tr>
      <w:tr>
        <w:tc>
          <w:tcPr>
            <w:tcW w:type="dxa" w:w="2000"/>
            <w:shd w:fill="FFFFFF" w:val="clear"/>
            <w:tcMar>
              <w:top w:type="dxa" w:w="80"/>
              <w:left w:type="dxa" w:w="100"/>
              <w:bottom w:type="dxa" w:w="80"/>
              <w:right w:type="dxa" w:w="100"/>
            </w:tcMar>
            <w:vAlign w:val="center"/>
          </w:tcPr>
          <w:p>
            <w:pPr>
              <w:jc w:val="left"/>
            </w:pPr>
            <w:r>
              <w:rPr>
                <w:b w:val="false"/>
                <w:bCs w:val="false"/>
                <w:sz w:val="19"/>
                <w:szCs w:val="19"/>
              </w:rPr>
              <w:t xml:space="preserve">Administrateur RH</w:t>
            </w:r>
          </w:p>
        </w:tc>
        <w:tc>
          <w:tcPr>
            <w:tcW w:type="dxa" w:w="2600"/>
            <w:shd w:fill="FFFFFF" w:val="clear"/>
            <w:tcMar>
              <w:top w:type="dxa" w:w="80"/>
              <w:left w:type="dxa" w:w="100"/>
              <w:bottom w:type="dxa" w:w="80"/>
              <w:right w:type="dxa" w:w="100"/>
            </w:tcMar>
            <w:vAlign w:val="center"/>
          </w:tcPr>
          <w:p>
            <w:pPr>
              <w:jc w:val="left"/>
            </w:pPr>
            <w:r>
              <w:rPr>
                <w:b w:val="false"/>
                <w:bCs w:val="false"/>
                <w:sz w:val="19"/>
                <w:szCs w:val="19"/>
              </w:rPr>
              <w:t xml:space="preserve">Division des Ressources humaines (paramétrage)</w:t>
            </w:r>
          </w:p>
        </w:tc>
        <w:tc>
          <w:tcPr>
            <w:tcW w:type="dxa" w:w="4400"/>
            <w:shd w:fill="FFFFFF" w:val="clear"/>
            <w:tcMar>
              <w:top w:type="dxa" w:w="80"/>
              <w:left w:type="dxa" w:w="100"/>
              <w:bottom w:type="dxa" w:w="80"/>
              <w:right w:type="dxa" w:w="100"/>
            </w:tcMar>
            <w:vAlign w:val="center"/>
          </w:tcPr>
          <w:p>
            <w:pPr>
              <w:jc w:val="left"/>
            </w:pPr>
            <w:r>
              <w:rPr>
                <w:b w:val="false"/>
                <w:bCs w:val="false"/>
                <w:sz w:val="19"/>
                <w:szCs w:val="19"/>
              </w:rPr>
              <w:t xml:space="preserve">Paramétrer critères, calendrier, structures ; créer une campagne ; consulter tous les tableaux de bord</w:t>
            </w:r>
          </w:p>
        </w:tc>
      </w:tr>
      <w:tr>
        <w:tc>
          <w:tcPr>
            <w:tcW w:type="dxa" w:w="2000"/>
            <w:shd w:fill="F2F2F2" w:val="clear"/>
            <w:tcMar>
              <w:top w:type="dxa" w:w="80"/>
              <w:left w:type="dxa" w:w="100"/>
              <w:bottom w:type="dxa" w:w="80"/>
              <w:right w:type="dxa" w:w="100"/>
            </w:tcMar>
            <w:vAlign w:val="center"/>
          </w:tcPr>
          <w:p>
            <w:pPr>
              <w:jc w:val="left"/>
            </w:pPr>
            <w:r>
              <w:rPr>
                <w:b w:val="false"/>
                <w:bCs w:val="false"/>
                <w:sz w:val="19"/>
                <w:szCs w:val="19"/>
              </w:rPr>
              <w:t xml:space="preserve">Directeur Général (DG)</w:t>
            </w:r>
          </w:p>
        </w:tc>
        <w:tc>
          <w:tcPr>
            <w:tcW w:type="dxa" w:w="2600"/>
            <w:shd w:fill="F2F2F2" w:val="clear"/>
            <w:tcMar>
              <w:top w:type="dxa" w:w="80"/>
              <w:left w:type="dxa" w:w="100"/>
              <w:bottom w:type="dxa" w:w="80"/>
              <w:right w:type="dxa" w:w="100"/>
            </w:tcMar>
            <w:vAlign w:val="center"/>
          </w:tcPr>
          <w:p>
            <w:pPr>
              <w:jc w:val="left"/>
            </w:pPr>
            <w:r>
              <w:rPr>
                <w:b w:val="false"/>
                <w:bCs w:val="false"/>
                <w:sz w:val="19"/>
                <w:szCs w:val="19"/>
              </w:rPr>
              <w:t xml:space="preserve">Directeur général</w:t>
            </w:r>
          </w:p>
        </w:tc>
        <w:tc>
          <w:tcPr>
            <w:tcW w:type="dxa" w:w="4400"/>
            <w:shd w:fill="F2F2F2" w:val="clear"/>
            <w:tcMar>
              <w:top w:type="dxa" w:w="80"/>
              <w:left w:type="dxa" w:w="100"/>
              <w:bottom w:type="dxa" w:w="80"/>
              <w:right w:type="dxa" w:w="100"/>
            </w:tcMar>
            <w:vAlign w:val="center"/>
          </w:tcPr>
          <w:p>
            <w:pPr>
              <w:jc w:val="left"/>
            </w:pPr>
            <w:r>
              <w:rPr>
                <w:b w:val="false"/>
                <w:bCs w:val="false"/>
                <w:sz w:val="19"/>
                <w:szCs w:val="19"/>
              </w:rPr>
              <w:t xml:space="preserve">Lancer la campagne, signer la note de service, consulter/annoter le rapport de synthèse, décider des gratifications, valider la transmission pour notification</w:t>
            </w:r>
          </w:p>
        </w:tc>
      </w:tr>
      <w:tr>
        <w:tc>
          <w:tcPr>
            <w:tcW w:type="dxa" w:w="2000"/>
            <w:shd w:fill="FFFFFF" w:val="clear"/>
            <w:tcMar>
              <w:top w:type="dxa" w:w="80"/>
              <w:left w:type="dxa" w:w="100"/>
              <w:bottom w:type="dxa" w:w="80"/>
              <w:right w:type="dxa" w:w="100"/>
            </w:tcMar>
            <w:vAlign w:val="center"/>
          </w:tcPr>
          <w:p>
            <w:pPr>
              <w:jc w:val="left"/>
            </w:pPr>
            <w:r>
              <w:rPr>
                <w:b w:val="false"/>
                <w:bCs w:val="false"/>
                <w:sz w:val="19"/>
                <w:szCs w:val="19"/>
              </w:rPr>
              <w:t xml:space="preserve">Secrétaire Général (SG)</w:t>
            </w:r>
          </w:p>
        </w:tc>
        <w:tc>
          <w:tcPr>
            <w:tcW w:type="dxa" w:w="2600"/>
            <w:shd w:fill="FFFFFF" w:val="clear"/>
            <w:tcMar>
              <w:top w:type="dxa" w:w="80"/>
              <w:left w:type="dxa" w:w="100"/>
              <w:bottom w:type="dxa" w:w="80"/>
              <w:right w:type="dxa" w:w="100"/>
            </w:tcMar>
            <w:vAlign w:val="center"/>
          </w:tcPr>
          <w:p>
            <w:pPr>
              <w:jc w:val="left"/>
            </w:pPr>
            <w:r>
              <w:rPr>
                <w:b w:val="false"/>
                <w:bCs w:val="false"/>
                <w:sz w:val="19"/>
                <w:szCs w:val="19"/>
              </w:rPr>
              <w:t xml:space="preserve">Secrétaire général</w:t>
            </w:r>
          </w:p>
        </w:tc>
        <w:tc>
          <w:tcPr>
            <w:tcW w:type="dxa" w:w="4400"/>
            <w:shd w:fill="FFFFFF" w:val="clear"/>
            <w:tcMar>
              <w:top w:type="dxa" w:w="80"/>
              <w:left w:type="dxa" w:w="100"/>
              <w:bottom w:type="dxa" w:w="80"/>
              <w:right w:type="dxa" w:w="100"/>
            </w:tcMar>
            <w:vAlign w:val="center"/>
          </w:tcPr>
          <w:p>
            <w:pPr>
              <w:jc w:val="left"/>
            </w:pPr>
            <w:r>
              <w:rPr>
                <w:b w:val="false"/>
                <w:bCs w:val="false"/>
                <w:sz w:val="19"/>
                <w:szCs w:val="19"/>
              </w:rPr>
              <w:t xml:space="preserve">Appuyer le DG (fixation période annuelle, co-consultation des rapports de synthèse, co-décision)</w:t>
            </w:r>
          </w:p>
        </w:tc>
      </w:tr>
      <w:tr>
        <w:tc>
          <w:tcPr>
            <w:tcW w:type="dxa" w:w="2000"/>
            <w:shd w:fill="F2F2F2" w:val="clear"/>
            <w:tcMar>
              <w:top w:type="dxa" w:w="80"/>
              <w:left w:type="dxa" w:w="100"/>
              <w:bottom w:type="dxa" w:w="80"/>
              <w:right w:type="dxa" w:w="100"/>
            </w:tcMar>
            <w:vAlign w:val="center"/>
          </w:tcPr>
          <w:p>
            <w:pPr>
              <w:jc w:val="left"/>
            </w:pPr>
            <w:r>
              <w:rPr>
                <w:b w:val="false"/>
                <w:bCs w:val="false"/>
                <w:sz w:val="19"/>
                <w:szCs w:val="19"/>
              </w:rPr>
              <w:t xml:space="preserve">Responsable hiérarchique</w:t>
            </w:r>
          </w:p>
        </w:tc>
        <w:tc>
          <w:tcPr>
            <w:tcW w:type="dxa" w:w="2600"/>
            <w:shd w:fill="F2F2F2" w:val="clear"/>
            <w:tcMar>
              <w:top w:type="dxa" w:w="80"/>
              <w:left w:type="dxa" w:w="100"/>
              <w:bottom w:type="dxa" w:w="80"/>
              <w:right w:type="dxa" w:w="100"/>
            </w:tcMar>
            <w:vAlign w:val="center"/>
          </w:tcPr>
          <w:p>
            <w:pPr>
              <w:jc w:val="left"/>
            </w:pPr>
            <w:r>
              <w:rPr>
                <w:b w:val="false"/>
                <w:bCs w:val="false"/>
                <w:sz w:val="19"/>
                <w:szCs w:val="19"/>
              </w:rPr>
              <w:t xml:space="preserve">Chef de service / N+1</w:t>
            </w:r>
          </w:p>
        </w:tc>
        <w:tc>
          <w:tcPr>
            <w:tcW w:type="dxa" w:w="4400"/>
            <w:shd w:fill="F2F2F2" w:val="clear"/>
            <w:tcMar>
              <w:top w:type="dxa" w:w="80"/>
              <w:left w:type="dxa" w:w="100"/>
              <w:bottom w:type="dxa" w:w="80"/>
              <w:right w:type="dxa" w:w="100"/>
            </w:tcMar>
            <w:vAlign w:val="center"/>
          </w:tcPr>
          <w:p>
            <w:pPr>
              <w:jc w:val="left"/>
            </w:pPr>
            <w:r>
              <w:rPr>
                <w:b w:val="false"/>
                <w:bCs w:val="false"/>
                <w:sz w:val="19"/>
                <w:szCs w:val="19"/>
              </w:rPr>
              <w:t xml:space="preserve">Planifier les entretiens de ses collaborateurs directs, saisir la notation, signer, transmettre au DAF, consulter l'historique des évaluations qu'il a menées</w:t>
            </w:r>
          </w:p>
        </w:tc>
      </w:tr>
      <w:tr>
        <w:tc>
          <w:tcPr>
            <w:tcW w:type="dxa" w:w="2000"/>
            <w:shd w:fill="FFFFFF" w:val="clear"/>
            <w:tcMar>
              <w:top w:type="dxa" w:w="80"/>
              <w:left w:type="dxa" w:w="100"/>
              <w:bottom w:type="dxa" w:w="80"/>
              <w:right w:type="dxa" w:w="100"/>
            </w:tcMar>
            <w:vAlign w:val="center"/>
          </w:tcPr>
          <w:p>
            <w:pPr>
              <w:jc w:val="left"/>
            </w:pPr>
            <w:r>
              <w:rPr>
                <w:b w:val="false"/>
                <w:bCs w:val="false"/>
                <w:sz w:val="19"/>
                <w:szCs w:val="19"/>
              </w:rPr>
              <w:t xml:space="preserve">Directeur Administratif et Financier (DAF)</w:t>
            </w:r>
          </w:p>
        </w:tc>
        <w:tc>
          <w:tcPr>
            <w:tcW w:type="dxa" w:w="2600"/>
            <w:shd w:fill="FFFFFF" w:val="clear"/>
            <w:tcMar>
              <w:top w:type="dxa" w:w="80"/>
              <w:left w:type="dxa" w:w="100"/>
              <w:bottom w:type="dxa" w:w="80"/>
              <w:right w:type="dxa" w:w="100"/>
            </w:tcMar>
            <w:vAlign w:val="center"/>
          </w:tcPr>
          <w:p>
            <w:pPr>
              <w:jc w:val="left"/>
            </w:pPr>
            <w:r>
              <w:rPr>
                <w:b w:val="false"/>
                <w:bCs w:val="false"/>
                <w:sz w:val="19"/>
                <w:szCs w:val="19"/>
              </w:rPr>
              <w:t xml:space="preserve">DAF</w:t>
            </w:r>
          </w:p>
        </w:tc>
        <w:tc>
          <w:tcPr>
            <w:tcW w:type="dxa" w:w="4400"/>
            <w:shd w:fill="FFFFFF" w:val="clear"/>
            <w:tcMar>
              <w:top w:type="dxa" w:w="80"/>
              <w:left w:type="dxa" w:w="100"/>
              <w:bottom w:type="dxa" w:w="80"/>
              <w:right w:type="dxa" w:w="100"/>
            </w:tcMar>
            <w:vAlign w:val="center"/>
          </w:tcPr>
          <w:p>
            <w:pPr>
              <w:jc w:val="left"/>
            </w:pPr>
            <w:r>
              <w:rPr>
                <w:b w:val="false"/>
                <w:bCs w:val="false"/>
                <w:sz w:val="19"/>
                <w:szCs w:val="19"/>
              </w:rPr>
              <w:t xml:space="preserve">Réceptionner les fiches, superviser l'élaboration du tableau de synthèse, transmettre au DG, établir et signer les courriers de notification, gérer l'archivage officiel</w:t>
            </w:r>
          </w:p>
        </w:tc>
      </w:tr>
      <w:tr>
        <w:tc>
          <w:tcPr>
            <w:tcW w:type="dxa" w:w="2000"/>
            <w:shd w:fill="F2F2F2" w:val="clear"/>
            <w:tcMar>
              <w:top w:type="dxa" w:w="80"/>
              <w:left w:type="dxa" w:w="100"/>
              <w:bottom w:type="dxa" w:w="80"/>
              <w:right w:type="dxa" w:w="100"/>
            </w:tcMar>
            <w:vAlign w:val="center"/>
          </w:tcPr>
          <w:p>
            <w:pPr>
              <w:jc w:val="left"/>
            </w:pPr>
            <w:r>
              <w:rPr>
                <w:b w:val="false"/>
                <w:bCs w:val="false"/>
                <w:sz w:val="19"/>
                <w:szCs w:val="19"/>
              </w:rPr>
              <w:t xml:space="preserve">Gestionnaire RH</w:t>
            </w:r>
          </w:p>
        </w:tc>
        <w:tc>
          <w:tcPr>
            <w:tcW w:type="dxa" w:w="2600"/>
            <w:shd w:fill="F2F2F2" w:val="clear"/>
            <w:tcMar>
              <w:top w:type="dxa" w:w="80"/>
              <w:left w:type="dxa" w:w="100"/>
              <w:bottom w:type="dxa" w:w="80"/>
              <w:right w:type="dxa" w:w="100"/>
            </w:tcMar>
            <w:vAlign w:val="center"/>
          </w:tcPr>
          <w:p>
            <w:pPr>
              <w:jc w:val="left"/>
            </w:pPr>
            <w:r>
              <w:rPr>
                <w:b w:val="false"/>
                <w:bCs w:val="false"/>
                <w:sz w:val="19"/>
                <w:szCs w:val="19"/>
              </w:rPr>
              <w:t xml:space="preserve">Division des Ressources humaines (appui)</w:t>
            </w:r>
          </w:p>
        </w:tc>
        <w:tc>
          <w:tcPr>
            <w:tcW w:type="dxa" w:w="4400"/>
            <w:shd w:fill="F2F2F2" w:val="clear"/>
            <w:tcMar>
              <w:top w:type="dxa" w:w="80"/>
              <w:left w:type="dxa" w:w="100"/>
              <w:bottom w:type="dxa" w:w="80"/>
              <w:right w:type="dxa" w:w="100"/>
            </w:tcMar>
            <w:vAlign w:val="center"/>
          </w:tcPr>
          <w:p>
            <w:pPr>
              <w:jc w:val="left"/>
            </w:pPr>
            <w:r>
              <w:rPr>
                <w:b w:val="false"/>
                <w:bCs w:val="false"/>
                <w:sz w:val="19"/>
                <w:szCs w:val="19"/>
              </w:rPr>
              <w:t xml:space="preserve">Assister le DAF dans l'élaboration du tableau de synthèse (accès en contribution, sans droit de validation finale)</w:t>
            </w:r>
          </w:p>
        </w:tc>
      </w:tr>
      <w:tr>
        <w:tc>
          <w:tcPr>
            <w:tcW w:type="dxa" w:w="2000"/>
            <w:shd w:fill="FFFFFF" w:val="clear"/>
            <w:tcMar>
              <w:top w:type="dxa" w:w="80"/>
              <w:left w:type="dxa" w:w="100"/>
              <w:bottom w:type="dxa" w:w="80"/>
              <w:right w:type="dxa" w:w="100"/>
            </w:tcMar>
            <w:vAlign w:val="center"/>
          </w:tcPr>
          <w:p>
            <w:pPr>
              <w:jc w:val="left"/>
            </w:pPr>
            <w:r>
              <w:rPr>
                <w:b w:val="false"/>
                <w:bCs w:val="false"/>
                <w:sz w:val="19"/>
                <w:szCs w:val="19"/>
              </w:rPr>
              <w:t xml:space="preserve">Agent évalué</w:t>
            </w:r>
          </w:p>
        </w:tc>
        <w:tc>
          <w:tcPr>
            <w:tcW w:type="dxa" w:w="2600"/>
            <w:shd w:fill="FFFFFF" w:val="clear"/>
            <w:tcMar>
              <w:top w:type="dxa" w:w="80"/>
              <w:left w:type="dxa" w:w="100"/>
              <w:bottom w:type="dxa" w:w="80"/>
              <w:right w:type="dxa" w:w="100"/>
            </w:tcMar>
            <w:vAlign w:val="center"/>
          </w:tcPr>
          <w:p>
            <w:pPr>
              <w:jc w:val="left"/>
            </w:pPr>
            <w:r>
              <w:rPr>
                <w:b w:val="false"/>
                <w:bCs w:val="false"/>
                <w:sz w:val="19"/>
                <w:szCs w:val="19"/>
              </w:rPr>
              <w:t xml:space="preserve">Collaborateur</w:t>
            </w:r>
          </w:p>
        </w:tc>
        <w:tc>
          <w:tcPr>
            <w:tcW w:type="dxa" w:w="4400"/>
            <w:shd w:fill="FFFFFF" w:val="clear"/>
            <w:tcMar>
              <w:top w:type="dxa" w:w="80"/>
              <w:left w:type="dxa" w:w="100"/>
              <w:bottom w:type="dxa" w:w="80"/>
              <w:right w:type="dxa" w:w="100"/>
            </w:tcMar>
            <w:vAlign w:val="center"/>
          </w:tcPr>
          <w:p>
            <w:pPr>
              <w:jc w:val="left"/>
            </w:pPr>
            <w:r>
              <w:rPr>
                <w:b w:val="false"/>
                <w:bCs w:val="false"/>
                <w:sz w:val="19"/>
                <w:szCs w:val="19"/>
              </w:rPr>
              <w:t xml:space="preserve">Consulter ses convocations d'entretien, consulter et donner son accord de signature sur sa propre fiche, consulter le résultat notifié de son évaluation</w:t>
            </w:r>
          </w:p>
        </w:tc>
      </w:tr>
    </w:tbl>
    <w:p>
      <w:pPr>
        <w:spacing w:after="120"/>
      </w:pPr>
      <w:r>
        <w:t xml:space="preserve"/>
      </w:r>
    </w:p>
    <w:p>
      <w:pPr>
        <w:spacing w:after="120"/>
      </w:pPr>
      <w:r>
        <w:t xml:space="preserve">Règle de gestion — cas des responsables hiérarchiques évalués : un responsable hiérarchique, en tant qu'agent, est lui-même évalué. Le système doit donc permettre à un même utilisateur de cumuler le rôle « Responsable hiérarchique » (pour ses subordonnés) et le rôle « Agent évalué » (pour sa propre fiche), sans confusion d'écran ni de circuit (cf. § 8.1).</w:t>
      </w:r>
    </w:p>
    <w:p>
      <w:pPr>
        <w:pStyle w:val="Heading1"/>
        <w:spacing w:after="200" w:before="400"/>
      </w:pPr>
      <w:r>
        <w:t xml:space="preserve">6. Cycle de vie de la fiche d'évaluation</w:t>
      </w:r>
    </w:p>
    <w:p>
      <w:pPr>
        <w:spacing w:after="120"/>
      </w:pPr>
      <w:r>
        <w:t xml:space="preserve">Chaque fiche d'évaluation individuelle suit un cycle de vie strict, matérialisé par un statut visible à tout moment par les acteurs habilités. Le passage d'un statut à l'autre déclenche systématiquement une notification aux acteurs concernés (cf. §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200"/>
        <w:gridCol w:w="1900"/>
      </w:tblGrid>
      <w:tr>
        <w:trPr>
          <w:tblHeader/>
        </w:trPr>
        <w:tc>
          <w:tcPr>
            <w:tcW w:type="dxa" w:w="500"/>
            <w:shd w:fill="1F3864"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Statut de la fiche</w:t>
            </w:r>
          </w:p>
        </w:tc>
        <w:tc>
          <w:tcPr>
            <w:tcW w:type="dxa" w:w="3200"/>
            <w:shd w:fill="1F3864" w:val="clear"/>
            <w:tcMar>
              <w:top w:type="dxa" w:w="80"/>
              <w:left w:type="dxa" w:w="100"/>
              <w:bottom w:type="dxa" w:w="80"/>
              <w:right w:type="dxa" w:w="100"/>
            </w:tcMar>
            <w:vAlign w:val="center"/>
          </w:tcPr>
          <w:p>
            <w:pPr>
              <w:jc w:val="left"/>
            </w:pPr>
            <w:r>
              <w:rPr>
                <w:b/>
                <w:bCs/>
                <w:color w:val="FFFFFF"/>
                <w:sz w:val="19"/>
                <w:szCs w:val="19"/>
              </w:rPr>
              <w:t xml:space="preserve">Déclenché par</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Sous-procédure</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1</w:t>
            </w:r>
          </w:p>
        </w:tc>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Créée (générée automatiquement)</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Lancement de campagne (DG/SG)</w:t>
            </w:r>
          </w:p>
        </w:tc>
        <w:tc>
          <w:tcPr>
            <w:tcW w:type="dxa" w:w="1900"/>
            <w:shd w:fill="FFFFFF" w:val="clear"/>
            <w:tcMar>
              <w:top w:type="dxa" w:w="80"/>
              <w:left w:type="dxa" w:w="100"/>
              <w:bottom w:type="dxa" w:w="80"/>
              <w:right w:type="dxa" w:w="100"/>
            </w:tcMar>
            <w:vAlign w:val="center"/>
          </w:tcPr>
          <w:p>
            <w:pPr>
              <w:jc w:val="left"/>
            </w:pPr>
            <w:r>
              <w:rPr>
                <w:b w:val="false"/>
                <w:bCs w:val="false"/>
                <w:sz w:val="19"/>
                <w:szCs w:val="19"/>
              </w:rPr>
              <w:t xml:space="preserve">SP1</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2</w:t>
            </w:r>
          </w:p>
        </w:tc>
        <w:tc>
          <w:tcPr>
            <w:tcW w:type="dxa" w:w="3400"/>
            <w:shd w:fill="F2F2F2" w:val="clear"/>
            <w:tcMar>
              <w:top w:type="dxa" w:w="80"/>
              <w:left w:type="dxa" w:w="100"/>
              <w:bottom w:type="dxa" w:w="80"/>
              <w:right w:type="dxa" w:w="100"/>
            </w:tcMar>
            <w:vAlign w:val="center"/>
          </w:tcPr>
          <w:p>
            <w:pPr>
              <w:jc w:val="left"/>
            </w:pPr>
            <w:r>
              <w:rPr>
                <w:b w:val="false"/>
                <w:bCs w:val="false"/>
                <w:sz w:val="19"/>
                <w:szCs w:val="19"/>
              </w:rPr>
              <w:t xml:space="preserve">Transmise au responsable hiérarchique</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Diffusion automatique selon organigramme</w:t>
            </w:r>
          </w:p>
        </w:tc>
        <w:tc>
          <w:tcPr>
            <w:tcW w:type="dxa" w:w="1900"/>
            <w:shd w:fill="F2F2F2" w:val="clear"/>
            <w:tcMar>
              <w:top w:type="dxa" w:w="80"/>
              <w:left w:type="dxa" w:w="100"/>
              <w:bottom w:type="dxa" w:w="80"/>
              <w:right w:type="dxa" w:w="100"/>
            </w:tcMar>
            <w:vAlign w:val="center"/>
          </w:tcPr>
          <w:p>
            <w:pPr>
              <w:jc w:val="left"/>
            </w:pPr>
            <w:r>
              <w:rPr>
                <w:b w:val="false"/>
                <w:bCs w:val="false"/>
                <w:sz w:val="19"/>
                <w:szCs w:val="19"/>
              </w:rPr>
              <w:t xml:space="preserve">SP1</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3</w:t>
            </w:r>
          </w:p>
        </w:tc>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Entretien planifié</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Responsable hiérarchique</w:t>
            </w:r>
          </w:p>
        </w:tc>
        <w:tc>
          <w:tcPr>
            <w:tcW w:type="dxa" w:w="1900"/>
            <w:shd w:fill="FFFFFF" w:val="clear"/>
            <w:tcMar>
              <w:top w:type="dxa" w:w="80"/>
              <w:left w:type="dxa" w:w="100"/>
              <w:bottom w:type="dxa" w:w="80"/>
              <w:right w:type="dxa" w:w="100"/>
            </w:tcMar>
            <w:vAlign w:val="center"/>
          </w:tcPr>
          <w:p>
            <w:pPr>
              <w:jc w:val="left"/>
            </w:pPr>
            <w:r>
              <w:rPr>
                <w:b w:val="false"/>
                <w:bCs w:val="false"/>
                <w:sz w:val="19"/>
                <w:szCs w:val="19"/>
              </w:rPr>
              <w:t xml:space="preserve">SP2</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4</w:t>
            </w:r>
          </w:p>
        </w:tc>
        <w:tc>
          <w:tcPr>
            <w:tcW w:type="dxa" w:w="3400"/>
            <w:shd w:fill="F2F2F2" w:val="clear"/>
            <w:tcMar>
              <w:top w:type="dxa" w:w="80"/>
              <w:left w:type="dxa" w:w="100"/>
              <w:bottom w:type="dxa" w:w="80"/>
              <w:right w:type="dxa" w:w="100"/>
            </w:tcMar>
            <w:vAlign w:val="center"/>
          </w:tcPr>
          <w:p>
            <w:pPr>
              <w:jc w:val="left"/>
            </w:pPr>
            <w:r>
              <w:rPr>
                <w:b w:val="false"/>
                <w:bCs w:val="false"/>
                <w:sz w:val="19"/>
                <w:szCs w:val="19"/>
              </w:rPr>
              <w:t xml:space="preserve">Agent informé de la convocation</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Notification automatique</w:t>
            </w:r>
          </w:p>
        </w:tc>
        <w:tc>
          <w:tcPr>
            <w:tcW w:type="dxa" w:w="1900"/>
            <w:shd w:fill="F2F2F2" w:val="clear"/>
            <w:tcMar>
              <w:top w:type="dxa" w:w="80"/>
              <w:left w:type="dxa" w:w="100"/>
              <w:bottom w:type="dxa" w:w="80"/>
              <w:right w:type="dxa" w:w="100"/>
            </w:tcMar>
            <w:vAlign w:val="center"/>
          </w:tcPr>
          <w:p>
            <w:pPr>
              <w:jc w:val="left"/>
            </w:pPr>
            <w:r>
              <w:rPr>
                <w:b w:val="false"/>
                <w:bCs w:val="false"/>
                <w:sz w:val="19"/>
                <w:szCs w:val="19"/>
              </w:rPr>
              <w:t xml:space="preserve">SP2</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5</w:t>
            </w:r>
          </w:p>
        </w:tc>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En cours de notation</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Responsable hiérarchique (pendant l'entretien)</w:t>
            </w:r>
          </w:p>
        </w:tc>
        <w:tc>
          <w:tcPr>
            <w:tcW w:type="dxa" w:w="1900"/>
            <w:shd w:fill="FFFFFF" w:val="clear"/>
            <w:tcMar>
              <w:top w:type="dxa" w:w="80"/>
              <w:left w:type="dxa" w:w="100"/>
              <w:bottom w:type="dxa" w:w="80"/>
              <w:right w:type="dxa" w:w="100"/>
            </w:tcMar>
            <w:vAlign w:val="center"/>
          </w:tcPr>
          <w:p>
            <w:pPr>
              <w:jc w:val="left"/>
            </w:pPr>
            <w:r>
              <w:rPr>
                <w:b w:val="false"/>
                <w:bCs w:val="false"/>
                <w:sz w:val="19"/>
                <w:szCs w:val="19"/>
              </w:rPr>
              <w:t xml:space="preserve">SP3</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6</w:t>
            </w:r>
          </w:p>
        </w:tc>
        <w:tc>
          <w:tcPr>
            <w:tcW w:type="dxa" w:w="3400"/>
            <w:shd w:fill="F2F2F2" w:val="clear"/>
            <w:tcMar>
              <w:top w:type="dxa" w:w="80"/>
              <w:left w:type="dxa" w:w="100"/>
              <w:bottom w:type="dxa" w:w="80"/>
              <w:right w:type="dxa" w:w="100"/>
            </w:tcMar>
            <w:vAlign w:val="center"/>
          </w:tcPr>
          <w:p>
            <w:pPr>
              <w:jc w:val="left"/>
            </w:pPr>
            <w:r>
              <w:rPr>
                <w:b w:val="false"/>
                <w:bCs w:val="false"/>
                <w:sz w:val="19"/>
                <w:szCs w:val="19"/>
              </w:rPr>
              <w:t xml:space="preserve">Notée — en attente de discussion</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Responsable hiérarchique</w:t>
            </w:r>
          </w:p>
        </w:tc>
        <w:tc>
          <w:tcPr>
            <w:tcW w:type="dxa" w:w="1900"/>
            <w:shd w:fill="F2F2F2" w:val="clear"/>
            <w:tcMar>
              <w:top w:type="dxa" w:w="80"/>
              <w:left w:type="dxa" w:w="100"/>
              <w:bottom w:type="dxa" w:w="80"/>
              <w:right w:type="dxa" w:w="100"/>
            </w:tcMar>
            <w:vAlign w:val="center"/>
          </w:tcPr>
          <w:p>
            <w:pPr>
              <w:jc w:val="left"/>
            </w:pPr>
            <w:r>
              <w:rPr>
                <w:b w:val="false"/>
                <w:bCs w:val="false"/>
                <w:sz w:val="19"/>
                <w:szCs w:val="19"/>
              </w:rPr>
              <w:t xml:space="preserve">SP3</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7</w:t>
            </w:r>
          </w:p>
        </w:tc>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En attente d'accord de signature de l'agent</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Responsable hiérarchique</w:t>
            </w:r>
          </w:p>
        </w:tc>
        <w:tc>
          <w:tcPr>
            <w:tcW w:type="dxa" w:w="1900"/>
            <w:shd w:fill="FFFFFF" w:val="clear"/>
            <w:tcMar>
              <w:top w:type="dxa" w:w="80"/>
              <w:left w:type="dxa" w:w="100"/>
              <w:bottom w:type="dxa" w:w="80"/>
              <w:right w:type="dxa" w:w="100"/>
            </w:tcMar>
            <w:vAlign w:val="center"/>
          </w:tcPr>
          <w:p>
            <w:pPr>
              <w:jc w:val="left"/>
            </w:pPr>
            <w:r>
              <w:rPr>
                <w:b w:val="false"/>
                <w:bCs w:val="false"/>
                <w:sz w:val="19"/>
                <w:szCs w:val="19"/>
              </w:rPr>
              <w:t xml:space="preserve">SP3</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8</w:t>
            </w:r>
          </w:p>
        </w:tc>
        <w:tc>
          <w:tcPr>
            <w:tcW w:type="dxa" w:w="3400"/>
            <w:shd w:fill="F2F2F2" w:val="clear"/>
            <w:tcMar>
              <w:top w:type="dxa" w:w="80"/>
              <w:left w:type="dxa" w:w="100"/>
              <w:bottom w:type="dxa" w:w="80"/>
              <w:right w:type="dxa" w:w="100"/>
            </w:tcMar>
            <w:vAlign w:val="center"/>
          </w:tcPr>
          <w:p>
            <w:pPr>
              <w:jc w:val="left"/>
            </w:pPr>
            <w:r>
              <w:rPr>
                <w:b w:val="false"/>
                <w:bCs w:val="false"/>
                <w:sz w:val="19"/>
                <w:szCs w:val="19"/>
              </w:rPr>
              <w:t xml:space="preserve">Signée (responsable + agent)</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Agent + Responsable hiérarchique</w:t>
            </w:r>
          </w:p>
        </w:tc>
        <w:tc>
          <w:tcPr>
            <w:tcW w:type="dxa" w:w="1900"/>
            <w:shd w:fill="F2F2F2" w:val="clear"/>
            <w:tcMar>
              <w:top w:type="dxa" w:w="80"/>
              <w:left w:type="dxa" w:w="100"/>
              <w:bottom w:type="dxa" w:w="80"/>
              <w:right w:type="dxa" w:w="100"/>
            </w:tcMar>
            <w:vAlign w:val="center"/>
          </w:tcPr>
          <w:p>
            <w:pPr>
              <w:jc w:val="left"/>
            </w:pPr>
            <w:r>
              <w:rPr>
                <w:b w:val="false"/>
                <w:bCs w:val="false"/>
                <w:sz w:val="19"/>
                <w:szCs w:val="19"/>
              </w:rPr>
              <w:t xml:space="preserve">SP3</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9</w:t>
            </w:r>
          </w:p>
        </w:tc>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Transmise au DAF</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Responsable hiérarchique</w:t>
            </w:r>
          </w:p>
        </w:tc>
        <w:tc>
          <w:tcPr>
            <w:tcW w:type="dxa" w:w="1900"/>
            <w:shd w:fill="FFFFFF" w:val="clear"/>
            <w:tcMar>
              <w:top w:type="dxa" w:w="80"/>
              <w:left w:type="dxa" w:w="100"/>
              <w:bottom w:type="dxa" w:w="80"/>
              <w:right w:type="dxa" w:w="100"/>
            </w:tcMar>
            <w:vAlign w:val="center"/>
          </w:tcPr>
          <w:p>
            <w:pPr>
              <w:jc w:val="left"/>
            </w:pPr>
            <w:r>
              <w:rPr>
                <w:b w:val="false"/>
                <w:bCs w:val="false"/>
                <w:sz w:val="19"/>
                <w:szCs w:val="19"/>
              </w:rPr>
              <w:t xml:space="preserve">SP3</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10</w:t>
            </w:r>
          </w:p>
        </w:tc>
        <w:tc>
          <w:tcPr>
            <w:tcW w:type="dxa" w:w="3400"/>
            <w:shd w:fill="F2F2F2" w:val="clear"/>
            <w:tcMar>
              <w:top w:type="dxa" w:w="80"/>
              <w:left w:type="dxa" w:w="100"/>
              <w:bottom w:type="dxa" w:w="80"/>
              <w:right w:type="dxa" w:w="100"/>
            </w:tcMar>
            <w:vAlign w:val="center"/>
          </w:tcPr>
          <w:p>
            <w:pPr>
              <w:jc w:val="left"/>
            </w:pPr>
            <w:r>
              <w:rPr>
                <w:b w:val="false"/>
                <w:bCs w:val="false"/>
                <w:sz w:val="19"/>
                <w:szCs w:val="19"/>
              </w:rPr>
              <w:t xml:space="preserve">Réceptionnée par le DAF / Division RH</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DAF</w:t>
            </w:r>
          </w:p>
        </w:tc>
        <w:tc>
          <w:tcPr>
            <w:tcW w:type="dxa" w:w="1900"/>
            <w:shd w:fill="F2F2F2" w:val="clear"/>
            <w:tcMar>
              <w:top w:type="dxa" w:w="80"/>
              <w:left w:type="dxa" w:w="100"/>
              <w:bottom w:type="dxa" w:w="80"/>
              <w:right w:type="dxa" w:w="100"/>
            </w:tcMar>
            <w:vAlign w:val="center"/>
          </w:tcPr>
          <w:p>
            <w:pPr>
              <w:jc w:val="left"/>
            </w:pPr>
            <w:r>
              <w:rPr>
                <w:b w:val="false"/>
                <w:bCs w:val="false"/>
                <w:sz w:val="19"/>
                <w:szCs w:val="19"/>
              </w:rPr>
              <w:t xml:space="preserve">SP4</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11</w:t>
            </w:r>
          </w:p>
        </w:tc>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Intégrée au tableau de synthèse</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DAF / Division RH</w:t>
            </w:r>
          </w:p>
        </w:tc>
        <w:tc>
          <w:tcPr>
            <w:tcW w:type="dxa" w:w="1900"/>
            <w:shd w:fill="FFFFFF" w:val="clear"/>
            <w:tcMar>
              <w:top w:type="dxa" w:w="80"/>
              <w:left w:type="dxa" w:w="100"/>
              <w:bottom w:type="dxa" w:w="80"/>
              <w:right w:type="dxa" w:w="100"/>
            </w:tcMar>
            <w:vAlign w:val="center"/>
          </w:tcPr>
          <w:p>
            <w:pPr>
              <w:jc w:val="left"/>
            </w:pPr>
            <w:r>
              <w:rPr>
                <w:b w:val="false"/>
                <w:bCs w:val="false"/>
                <w:sz w:val="19"/>
                <w:szCs w:val="19"/>
              </w:rPr>
              <w:t xml:space="preserve">SP4</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12</w:t>
            </w:r>
          </w:p>
        </w:tc>
        <w:tc>
          <w:tcPr>
            <w:tcW w:type="dxa" w:w="3400"/>
            <w:shd w:fill="F2F2F2" w:val="clear"/>
            <w:tcMar>
              <w:top w:type="dxa" w:w="80"/>
              <w:left w:type="dxa" w:w="100"/>
              <w:bottom w:type="dxa" w:w="80"/>
              <w:right w:type="dxa" w:w="100"/>
            </w:tcMar>
            <w:vAlign w:val="center"/>
          </w:tcPr>
          <w:p>
            <w:pPr>
              <w:jc w:val="left"/>
            </w:pPr>
            <w:r>
              <w:rPr>
                <w:b w:val="false"/>
                <w:bCs w:val="false"/>
                <w:sz w:val="19"/>
                <w:szCs w:val="19"/>
              </w:rPr>
              <w:t xml:space="preserve">Tableau transmis au DG</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DAF</w:t>
            </w:r>
          </w:p>
        </w:tc>
        <w:tc>
          <w:tcPr>
            <w:tcW w:type="dxa" w:w="1900"/>
            <w:shd w:fill="F2F2F2" w:val="clear"/>
            <w:tcMar>
              <w:top w:type="dxa" w:w="80"/>
              <w:left w:type="dxa" w:w="100"/>
              <w:bottom w:type="dxa" w:w="80"/>
              <w:right w:type="dxa" w:w="100"/>
            </w:tcMar>
            <w:vAlign w:val="center"/>
          </w:tcPr>
          <w:p>
            <w:pPr>
              <w:jc w:val="left"/>
            </w:pPr>
            <w:r>
              <w:rPr>
                <w:b w:val="false"/>
                <w:bCs w:val="false"/>
                <w:sz w:val="19"/>
                <w:szCs w:val="19"/>
              </w:rPr>
              <w:t xml:space="preserve">SP4</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13</w:t>
            </w:r>
          </w:p>
        </w:tc>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Étudiée par le DG/SG</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DG / SG</w:t>
            </w:r>
          </w:p>
        </w:tc>
        <w:tc>
          <w:tcPr>
            <w:tcW w:type="dxa" w:w="1900"/>
            <w:shd w:fill="FFFFFF" w:val="clear"/>
            <w:tcMar>
              <w:top w:type="dxa" w:w="80"/>
              <w:left w:type="dxa" w:w="100"/>
              <w:bottom w:type="dxa" w:w="80"/>
              <w:right w:type="dxa" w:w="100"/>
            </w:tcMar>
            <w:vAlign w:val="center"/>
          </w:tcPr>
          <w:p>
            <w:pPr>
              <w:jc w:val="left"/>
            </w:pPr>
            <w:r>
              <w:rPr>
                <w:b w:val="false"/>
                <w:bCs w:val="false"/>
                <w:sz w:val="19"/>
                <w:szCs w:val="19"/>
              </w:rPr>
              <w:t xml:space="preserve">SP5</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14</w:t>
            </w:r>
          </w:p>
        </w:tc>
        <w:tc>
          <w:tcPr>
            <w:tcW w:type="dxa" w:w="3400"/>
            <w:shd w:fill="F2F2F2" w:val="clear"/>
            <w:tcMar>
              <w:top w:type="dxa" w:w="80"/>
              <w:left w:type="dxa" w:w="100"/>
              <w:bottom w:type="dxa" w:w="80"/>
              <w:right w:type="dxa" w:w="100"/>
            </w:tcMar>
            <w:vAlign w:val="center"/>
          </w:tcPr>
          <w:p>
            <w:pPr>
              <w:jc w:val="left"/>
            </w:pPr>
            <w:r>
              <w:rPr>
                <w:b w:val="false"/>
                <w:bCs w:val="false"/>
                <w:sz w:val="19"/>
                <w:szCs w:val="19"/>
              </w:rPr>
              <w:t xml:space="preserve">Annotée / gratification décidée</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DG</w:t>
            </w:r>
          </w:p>
        </w:tc>
        <w:tc>
          <w:tcPr>
            <w:tcW w:type="dxa" w:w="1900"/>
            <w:shd w:fill="F2F2F2" w:val="clear"/>
            <w:tcMar>
              <w:top w:type="dxa" w:w="80"/>
              <w:left w:type="dxa" w:w="100"/>
              <w:bottom w:type="dxa" w:w="80"/>
              <w:right w:type="dxa" w:w="100"/>
            </w:tcMar>
            <w:vAlign w:val="center"/>
          </w:tcPr>
          <w:p>
            <w:pPr>
              <w:jc w:val="left"/>
            </w:pPr>
            <w:r>
              <w:rPr>
                <w:b w:val="false"/>
                <w:bCs w:val="false"/>
                <w:sz w:val="19"/>
                <w:szCs w:val="19"/>
              </w:rPr>
              <w:t xml:space="preserve">SP5</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15</w:t>
            </w:r>
          </w:p>
        </w:tc>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Validée pour notification</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DG</w:t>
            </w:r>
          </w:p>
        </w:tc>
        <w:tc>
          <w:tcPr>
            <w:tcW w:type="dxa" w:w="1900"/>
            <w:shd w:fill="FFFFFF" w:val="clear"/>
            <w:tcMar>
              <w:top w:type="dxa" w:w="80"/>
              <w:left w:type="dxa" w:w="100"/>
              <w:bottom w:type="dxa" w:w="80"/>
              <w:right w:type="dxa" w:w="100"/>
            </w:tcMar>
            <w:vAlign w:val="center"/>
          </w:tcPr>
          <w:p>
            <w:pPr>
              <w:jc w:val="left"/>
            </w:pPr>
            <w:r>
              <w:rPr>
                <w:b w:val="false"/>
                <w:bCs w:val="false"/>
                <w:sz w:val="19"/>
                <w:szCs w:val="19"/>
              </w:rPr>
              <w:t xml:space="preserve">SP5</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16</w:t>
            </w:r>
          </w:p>
        </w:tc>
        <w:tc>
          <w:tcPr>
            <w:tcW w:type="dxa" w:w="3400"/>
            <w:shd w:fill="F2F2F2" w:val="clear"/>
            <w:tcMar>
              <w:top w:type="dxa" w:w="80"/>
              <w:left w:type="dxa" w:w="100"/>
              <w:bottom w:type="dxa" w:w="80"/>
              <w:right w:type="dxa" w:w="100"/>
            </w:tcMar>
            <w:vAlign w:val="center"/>
          </w:tcPr>
          <w:p>
            <w:pPr>
              <w:jc w:val="left"/>
            </w:pPr>
            <w:r>
              <w:rPr>
                <w:b w:val="false"/>
                <w:bCs w:val="false"/>
                <w:sz w:val="19"/>
                <w:szCs w:val="19"/>
              </w:rPr>
              <w:t xml:space="preserve">Courrier de notification établi</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DAF</w:t>
            </w:r>
          </w:p>
        </w:tc>
        <w:tc>
          <w:tcPr>
            <w:tcW w:type="dxa" w:w="1900"/>
            <w:shd w:fill="F2F2F2" w:val="clear"/>
            <w:tcMar>
              <w:top w:type="dxa" w:w="80"/>
              <w:left w:type="dxa" w:w="100"/>
              <w:bottom w:type="dxa" w:w="80"/>
              <w:right w:type="dxa" w:w="100"/>
            </w:tcMar>
            <w:vAlign w:val="center"/>
          </w:tcPr>
          <w:p>
            <w:pPr>
              <w:jc w:val="left"/>
            </w:pPr>
            <w:r>
              <w:rPr>
                <w:b w:val="false"/>
                <w:bCs w:val="false"/>
                <w:sz w:val="19"/>
                <w:szCs w:val="19"/>
              </w:rPr>
              <w:t xml:space="preserve">SP6</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17</w:t>
            </w:r>
          </w:p>
        </w:tc>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Notifiée à l'agent</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DAF</w:t>
            </w:r>
          </w:p>
        </w:tc>
        <w:tc>
          <w:tcPr>
            <w:tcW w:type="dxa" w:w="1900"/>
            <w:shd w:fill="FFFFFF" w:val="clear"/>
            <w:tcMar>
              <w:top w:type="dxa" w:w="80"/>
              <w:left w:type="dxa" w:w="100"/>
              <w:bottom w:type="dxa" w:w="80"/>
              <w:right w:type="dxa" w:w="100"/>
            </w:tcMar>
            <w:vAlign w:val="center"/>
          </w:tcPr>
          <w:p>
            <w:pPr>
              <w:jc w:val="left"/>
            </w:pPr>
            <w:r>
              <w:rPr>
                <w:b w:val="false"/>
                <w:bCs w:val="false"/>
                <w:sz w:val="19"/>
                <w:szCs w:val="19"/>
              </w:rPr>
              <w:t xml:space="preserve">SP6</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18</w:t>
            </w:r>
          </w:p>
        </w:tc>
        <w:tc>
          <w:tcPr>
            <w:tcW w:type="dxa" w:w="3400"/>
            <w:shd w:fill="F2F2F2" w:val="clear"/>
            <w:tcMar>
              <w:top w:type="dxa" w:w="80"/>
              <w:left w:type="dxa" w:w="100"/>
              <w:bottom w:type="dxa" w:w="80"/>
              <w:right w:type="dxa" w:w="100"/>
            </w:tcMar>
            <w:vAlign w:val="center"/>
          </w:tcPr>
          <w:p>
            <w:pPr>
              <w:jc w:val="left"/>
            </w:pPr>
            <w:r>
              <w:rPr>
                <w:b w:val="false"/>
                <w:bCs w:val="false"/>
                <w:sz w:val="19"/>
                <w:szCs w:val="19"/>
              </w:rPr>
              <w:t xml:space="preserve">Archivée</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Système (automatique)</w:t>
            </w:r>
          </w:p>
        </w:tc>
        <w:tc>
          <w:tcPr>
            <w:tcW w:type="dxa" w:w="1900"/>
            <w:shd w:fill="F2F2F2" w:val="clear"/>
            <w:tcMar>
              <w:top w:type="dxa" w:w="80"/>
              <w:left w:type="dxa" w:w="100"/>
              <w:bottom w:type="dxa" w:w="80"/>
              <w:right w:type="dxa" w:w="100"/>
            </w:tcMar>
            <w:vAlign w:val="center"/>
          </w:tcPr>
          <w:p>
            <w:pPr>
              <w:jc w:val="left"/>
            </w:pPr>
            <w:r>
              <w:rPr>
                <w:b w:val="false"/>
                <w:bCs w:val="false"/>
                <w:sz w:val="19"/>
                <w:szCs w:val="19"/>
              </w:rPr>
              <w:t xml:space="preserve">Transverse</w:t>
            </w:r>
          </w:p>
        </w:tc>
      </w:tr>
    </w:tbl>
    <w:p>
      <w:pPr>
        <w:spacing w:after="120"/>
      </w:pPr>
      <w:r>
        <w:t xml:space="preserve"/>
      </w:r>
    </w:p>
    <w:p>
      <w:pPr>
        <w:pStyle w:val="Heading3"/>
        <w:spacing w:after="100" w:before="200"/>
      </w:pPr>
      <w:r>
        <w:t xml:space="preserve">Cas d'exception gérés par le workflow</w:t>
      </w:r>
    </w:p>
    <w:p>
      <w:pPr>
        <w:pStyle w:val="ListParagraph"/>
        <w:numPr>
          <w:ilvl w:val="0"/>
          <w:numId w:val="1"/>
        </w:numPr>
        <w:spacing w:after="60"/>
      </w:pPr>
      <w:r>
        <w:t xml:space="preserve">Refus de signature de l'agent : statut « Signature refusée — commentaire agent requis » ; la fiche reste bloquée tant que le responsable hiérarchique n'a pas consigné les motifs et proposé une relance d'entretien, conformément au principe de dignité rappelé au § 2 ;</w:t>
      </w:r>
    </w:p>
    <w:p>
      <w:pPr>
        <w:pStyle w:val="ListParagraph"/>
        <w:numPr>
          <w:ilvl w:val="0"/>
          <w:numId w:val="1"/>
        </w:numPr>
        <w:spacing w:after="60"/>
      </w:pPr>
      <w:r>
        <w:t xml:space="preserve">Agent absent/indisponible durablement (congé, maladie, mission) : statut « Entretien reporté », avec motif et nouvelle date obligatoire, sans clôturer la fiche ;</w:t>
      </w:r>
    </w:p>
    <w:p>
      <w:pPr>
        <w:pStyle w:val="ListParagraph"/>
        <w:numPr>
          <w:ilvl w:val="0"/>
          <w:numId w:val="1"/>
        </w:numPr>
        <w:spacing w:after="60"/>
      </w:pPr>
      <w:r>
        <w:t xml:space="preserve">Agent quittant l'ANASER en cours de campagne : statut « Clôturée sans notation — sortie d'effectif », tracé mais exclu du tableau de synthèse ;</w:t>
      </w:r>
    </w:p>
    <w:p>
      <w:pPr>
        <w:pStyle w:val="ListParagraph"/>
        <w:numPr>
          <w:ilvl w:val="0"/>
          <w:numId w:val="1"/>
        </w:numPr>
        <w:spacing w:after="60"/>
      </w:pPr>
      <w:r>
        <w:t xml:space="preserve">Nouvelle recrue en cours d'année n'ayant pas de fiche d'objectifs antérieure : le module autorise la saisie directe des objectifs de la fiche d'embauche comme référence, conformément au Manuel (« fiche d'objectifs annuels, ou établie lors de l'embauche »).</w:t>
      </w:r>
    </w:p>
    <w:p>
      <w:pPr>
        <w:pStyle w:val="Heading1"/>
        <w:spacing w:after="200" w:before="400"/>
      </w:pPr>
      <w:r>
        <w:t xml:space="preserve">7. Spécifications fonctionnelles détaillées par sous-procédure</w:t>
      </w:r>
    </w:p>
    <w:p>
      <w:pPr>
        <w:pStyle w:val="Heading2"/>
        <w:spacing w:after="150" w:before="300"/>
      </w:pPr>
      <w:r>
        <w:t xml:space="preserve">7.1. Sous-procédure 1 — Lancer la campagne d'évaluation professionnelle</w:t>
      </w:r>
    </w:p>
    <w:p>
      <w:pPr>
        <w:spacing w:after="120"/>
      </w:pPr>
      <w:r>
        <w:rPr>
          <w:b/>
          <w:bCs/>
        </w:rPr>
        <w:t xml:space="preserve">Acteur(s) : </w:t>
      </w:r>
      <w:r>
        <w:t xml:space="preserve">Directeur général, appuyé par le Secrétaire général.</w:t>
      </w:r>
    </w:p>
    <w:p>
      <w:pPr>
        <w:spacing w:after="120"/>
      </w:pPr>
      <w:r>
        <w:rPr>
          <w:b/>
          <w:bCs/>
        </w:rPr>
        <w:t xml:space="preserve">Déclencheur : </w:t>
      </w:r>
      <w:r>
        <w:t xml:space="preserve">Période annuelle des entretiens décidée par le Secrétaire général.</w:t>
      </w:r>
    </w:p>
    <w:p>
      <w:pPr>
        <w:spacing w:after="120"/>
      </w:pPr>
      <w:r>
        <w:rPr>
          <w:b/>
          <w:bCs/>
        </w:rPr>
        <w:t xml:space="preserve">Support(s) documentaire(s) : </w:t>
      </w:r>
      <w:r>
        <w:t xml:space="preserve">Note de service ; Fiches d'évaluation.</w:t>
      </w:r>
    </w:p>
    <w:p>
      <w:pPr>
        <w:pStyle w:val="Heading3"/>
        <w:spacing w:after="100" w:before="200"/>
      </w:pPr>
      <w:r>
        <w:t xml:space="preserve">Tâches métier à couvrir (rappel intégral de la note de cadrage)</w:t>
      </w:r>
    </w:p>
    <w:p>
      <w:pPr>
        <w:spacing w:after="60"/>
        <w:ind w:left="504"/>
      </w:pPr>
      <w:r>
        <w:t xml:space="preserve">1. Établir et signer la note de service annonçant l'évaluation des agents de l'année en cours.</w:t>
      </w:r>
    </w:p>
    <w:p>
      <w:pPr>
        <w:spacing w:after="60"/>
        <w:ind w:left="504"/>
      </w:pPr>
      <w:r>
        <w:t xml:space="preserve">2. Remplir et transmettre aux différents responsables hiérarchiques les fiches d'évaluation des collaborateurs qui sont sous leur supervision.</w:t>
      </w:r>
    </w:p>
    <w:p>
      <w:pPr>
        <w:pStyle w:val="Heading3"/>
        <w:spacing w:after="100" w:before="200"/>
      </w:pPr>
      <w:r>
        <w:t xml:space="preserve">Fonctionnalités système à développer</w:t>
      </w:r>
    </w:p>
    <w:p>
      <w:pPr>
        <w:pStyle w:val="ListParagraph"/>
        <w:numPr>
          <w:ilvl w:val="0"/>
          <w:numId w:val="1"/>
        </w:numPr>
        <w:spacing w:after="60"/>
      </w:pPr>
      <w:r>
        <w:t xml:space="preserve">Écran « Créer une campagne » : saisie de l'année d'exercice, du référentiel de critères applicable (version verrouillée), du calendrier indicatif par sous-procédure, et du périmètre d'agents concernés (par défaut : tous les agents actifs, avec possibilité d'exclusion motivée) ;</w:t>
      </w:r>
    </w:p>
    <w:p>
      <w:pPr>
        <w:pStyle w:val="ListParagraph"/>
        <w:numPr>
          <w:ilvl w:val="0"/>
          <w:numId w:val="1"/>
        </w:numPr>
        <w:spacing w:after="60"/>
      </w:pPr>
      <w:r>
        <w:t xml:space="preserve">Génération automatique, à partir d'un modèle paramétrable (en-tête République du Sénégal / ANASER, texte réglementaire pré-rempli), du projet de note de service annonçant la campagne ;</w:t>
      </w:r>
    </w:p>
    <w:p>
      <w:pPr>
        <w:pStyle w:val="ListParagraph"/>
        <w:numPr>
          <w:ilvl w:val="0"/>
          <w:numId w:val="1"/>
        </w:numPr>
        <w:spacing w:after="60"/>
      </w:pPr>
      <w:r>
        <w:t xml:space="preserve">Circuit de validation électronique de la note de service par le Directeur général (signature électronique ou import de la version scannée signée) avant diffusion officielle ;</w:t>
      </w:r>
    </w:p>
    <w:p>
      <w:pPr>
        <w:pStyle w:val="ListParagraph"/>
        <w:numPr>
          <w:ilvl w:val="0"/>
          <w:numId w:val="1"/>
        </w:numPr>
        <w:spacing w:after="60"/>
      </w:pPr>
      <w:r>
        <w:t xml:space="preserve">Génération automatique, dès la note de service validée, d'une fiche d'évaluation vierge par agent actif du périmètre, pré-remplie avec : identité, poste, structure, ancienneté, responsable hiérarchique (déduit de l'organigramme), critères applicables (socles + complémentaires si agent mis à disposition), et rappel du plan d'action de la période précédente le cas échéant ;</w:t>
      </w:r>
    </w:p>
    <w:p>
      <w:pPr>
        <w:pStyle w:val="ListParagraph"/>
        <w:numPr>
          <w:ilvl w:val="0"/>
          <w:numId w:val="1"/>
        </w:numPr>
        <w:spacing w:after="60"/>
      </w:pPr>
      <w:r>
        <w:t xml:space="preserve">Transmission automatique de chaque fiche générée au responsable hiérarchique concerné, avec regroupement par responsable de la liste de ses collaborateurs à évaluer ;</w:t>
      </w:r>
    </w:p>
    <w:p>
      <w:pPr>
        <w:pStyle w:val="ListParagraph"/>
        <w:numPr>
          <w:ilvl w:val="0"/>
          <w:numId w:val="1"/>
        </w:numPr>
        <w:spacing w:after="60"/>
      </w:pPr>
      <w:r>
        <w:t xml:space="preserve">Passage automatique du statut de campagne de « Brouillon » à « Lancée », déclenchant le démarrage de la sous-procédure 2 pour tous les responsables hiérarchiques concernés ;</w:t>
      </w:r>
    </w:p>
    <w:p>
      <w:pPr>
        <w:pStyle w:val="ListParagraph"/>
        <w:numPr>
          <w:ilvl w:val="0"/>
          <w:numId w:val="1"/>
        </w:numPr>
        <w:spacing w:after="60"/>
      </w:pPr>
      <w:r>
        <w:t xml:space="preserve">Contrôle bloquant : la campagne ne peut être lancée si le rapport d'anomalies d'organigramme (§ 4.2) n'a pas été traité, ou si aucun référentiel de critères n'est associé.</w:t>
      </w:r>
    </w:p>
    <w:p>
      <w:pPr>
        <w:pStyle w:val="Heading3"/>
        <w:spacing w:after="100" w:before="200"/>
      </w:pPr>
      <w:r>
        <w:t xml:space="preserve">Écrans / interfaces associés</w:t>
      </w:r>
    </w:p>
    <w:p>
      <w:pPr>
        <w:pStyle w:val="ListParagraph"/>
        <w:numPr>
          <w:ilvl w:val="0"/>
          <w:numId w:val="1"/>
        </w:numPr>
        <w:spacing w:after="60"/>
      </w:pPr>
      <w:r>
        <w:t xml:space="preserve">Écran « Paramétrage de campagne » (Administrateur RH) ;</w:t>
      </w:r>
    </w:p>
    <w:p>
      <w:pPr>
        <w:pStyle w:val="ListParagraph"/>
        <w:numPr>
          <w:ilvl w:val="0"/>
          <w:numId w:val="1"/>
        </w:numPr>
        <w:spacing w:after="60"/>
      </w:pPr>
      <w:r>
        <w:t xml:space="preserve">Écran « Validation et signature de la note de service » (DG) ;</w:t>
      </w:r>
    </w:p>
    <w:p>
      <w:pPr>
        <w:pStyle w:val="ListParagraph"/>
        <w:numPr>
          <w:ilvl w:val="0"/>
          <w:numId w:val="1"/>
        </w:numPr>
        <w:spacing w:after="60"/>
      </w:pPr>
      <w:r>
        <w:t xml:space="preserve">Écran « Suivi de diffusion des fiches » (DG/SG/DAF/Division RH) — statistiques en temps réel du nombre de fiches transmises par structure.</w:t>
      </w:r>
    </w:p>
    <w:p>
      <w:pPr>
        <w:pStyle w:val="Heading3"/>
        <w:spacing w:after="100" w:before="200"/>
      </w:pPr>
      <w:r>
        <w:t xml:space="preserve">Règles de gestion spécifiques</w:t>
      </w:r>
    </w:p>
    <w:p>
      <w:pPr>
        <w:pStyle w:val="ListParagraph"/>
        <w:numPr>
          <w:ilvl w:val="0"/>
          <w:numId w:val="1"/>
        </w:numPr>
        <w:spacing w:after="60"/>
      </w:pPr>
      <w:r>
        <w:t xml:space="preserve">Une seule campagne active à la fois par exercice ; une nouvelle campagne ne peut être créée pour un exercice déjà couvert par une campagne non clôturée ;</w:t>
      </w:r>
    </w:p>
    <w:p>
      <w:pPr>
        <w:pStyle w:val="ListParagraph"/>
        <w:numPr>
          <w:ilvl w:val="0"/>
          <w:numId w:val="1"/>
        </w:numPr>
        <w:spacing w:after="60"/>
      </w:pPr>
      <w:r>
        <w:t xml:space="preserve">La liste des agents et leur rattachement hiérarchique est figée (« photographiée ») au moment du lancement, pour garantir la cohérence de la campagne même en cas de mouvement de personnel ultérieur (mutation gérée en exception, cf. § 6 « Cas d'exception »).</w:t>
      </w:r>
    </w:p>
    <w:p>
      <w:pPr>
        <w:pStyle w:val="Heading2"/>
        <w:spacing w:after="150" w:before="300"/>
      </w:pPr>
      <w:r>
        <w:t xml:space="preserve">7.2. Sous-procédure 2 — Planifier les entretiens d'évaluation</w:t>
      </w:r>
    </w:p>
    <w:p>
      <w:pPr>
        <w:spacing w:after="120"/>
      </w:pPr>
      <w:r>
        <w:rPr>
          <w:b/>
          <w:bCs/>
        </w:rPr>
        <w:t xml:space="preserve">Acteur(s) : </w:t>
      </w:r>
      <w:r>
        <w:t xml:space="preserve">Responsable hiérarchique.</w:t>
      </w:r>
    </w:p>
    <w:p>
      <w:pPr>
        <w:spacing w:after="120"/>
      </w:pPr>
      <w:r>
        <w:rPr>
          <w:b/>
          <w:bCs/>
        </w:rPr>
        <w:t xml:space="preserve">Déclencheur : </w:t>
      </w:r>
      <w:r>
        <w:t xml:space="preserve">Période annuelle des entretiens décidée par le Secrétaire général.</w:t>
      </w:r>
    </w:p>
    <w:p>
      <w:pPr>
        <w:spacing w:after="120"/>
      </w:pPr>
      <w:r>
        <w:rPr>
          <w:b/>
          <w:bCs/>
        </w:rPr>
        <w:t xml:space="preserve">Support(s) documentaire(s) : </w:t>
      </w:r>
      <w:r>
        <w:t xml:space="preserve">Courriel / notification d'information au collaborateur.</w:t>
      </w:r>
    </w:p>
    <w:p>
      <w:pPr>
        <w:pStyle w:val="Heading3"/>
        <w:spacing w:after="100" w:before="200"/>
      </w:pPr>
      <w:r>
        <w:t xml:space="preserve">Tâches métier à couvrir (rappel intégral de la note de cadrage)</w:t>
      </w:r>
    </w:p>
    <w:p>
      <w:pPr>
        <w:spacing w:after="60"/>
        <w:ind w:left="504"/>
      </w:pPr>
      <w:r>
        <w:t xml:space="preserve">1. Planifier les entretiens : fixer la date, l'heure et le lieu.</w:t>
      </w:r>
    </w:p>
    <w:p>
      <w:pPr>
        <w:spacing w:after="60"/>
        <w:ind w:left="504"/>
      </w:pPr>
      <w:r>
        <w:t xml:space="preserve">2. Informer les collaborateurs devant être reçus.</w:t>
      </w:r>
    </w:p>
    <w:p>
      <w:pPr>
        <w:pStyle w:val="Heading3"/>
        <w:spacing w:after="100" w:before="200"/>
      </w:pPr>
      <w:r>
        <w:t xml:space="preserve">Fonctionnalités système à développer</w:t>
      </w:r>
    </w:p>
    <w:p>
      <w:pPr>
        <w:pStyle w:val="ListParagraph"/>
        <w:numPr>
          <w:ilvl w:val="0"/>
          <w:numId w:val="1"/>
        </w:numPr>
        <w:spacing w:after="60"/>
      </w:pPr>
      <w:r>
        <w:t xml:space="preserve">Écran « Mes évaluations à planifier » listant, pour le responsable hiérarchique connecté, l'ensemble des fiches à son statut « Transmise au responsable hiérarchique », avec filtre par service et par statut de planification ;</w:t>
      </w:r>
    </w:p>
    <w:p>
      <w:pPr>
        <w:pStyle w:val="ListParagraph"/>
        <w:numPr>
          <w:ilvl w:val="0"/>
          <w:numId w:val="1"/>
        </w:numPr>
        <w:spacing w:after="60"/>
      </w:pPr>
      <w:r>
        <w:t xml:space="preserve">Formulaire de planification par agent : date, heure, lieu (présentiel/salle ou visioconférence), durée prévue ; possibilité de planification en lot (sélection multiple d'agents avec créneaux successifs) ;</w:t>
      </w:r>
    </w:p>
    <w:p>
      <w:pPr>
        <w:pStyle w:val="ListParagraph"/>
        <w:numPr>
          <w:ilvl w:val="0"/>
          <w:numId w:val="1"/>
        </w:numPr>
        <w:spacing w:after="60"/>
      </w:pPr>
      <w:r>
        <w:t xml:space="preserve">Génération et envoi automatique d'une notification (courriel + notification in-app) à l'agent concerné, l'informant de la date, l'heure et le lieu de son entretien, avec accusé de réception de consultation ;</w:t>
      </w:r>
    </w:p>
    <w:p>
      <w:pPr>
        <w:pStyle w:val="ListParagraph"/>
        <w:numPr>
          <w:ilvl w:val="0"/>
          <w:numId w:val="1"/>
        </w:numPr>
        <w:spacing w:after="60"/>
      </w:pPr>
      <w:r>
        <w:t xml:space="preserve">Possibilité de replanification avec motif obligatoire (traçabilité) et notification automatique de la nouvelle date ;</w:t>
      </w:r>
    </w:p>
    <w:p>
      <w:pPr>
        <w:pStyle w:val="ListParagraph"/>
        <w:numPr>
          <w:ilvl w:val="0"/>
          <w:numId w:val="1"/>
        </w:numPr>
        <w:spacing w:after="60"/>
      </w:pPr>
      <w:r>
        <w:t xml:space="preserve">Tableau de bord du responsable hiérarchique indiquant, en temps réel, le nombre d'entretiens planifiés / restant à planifier parmi ses collaborateurs ;</w:t>
      </w:r>
    </w:p>
    <w:p>
      <w:pPr>
        <w:pStyle w:val="ListParagraph"/>
        <w:numPr>
          <w:ilvl w:val="0"/>
          <w:numId w:val="1"/>
        </w:numPr>
        <w:spacing w:after="60"/>
      </w:pPr>
      <w:r>
        <w:t xml:space="preserve">Relance automatique (notification) du responsable hiérarchique si des entretiens restent non planifiés à l'approche de la date de fin prévue pour la sous-procédure 2 (paramétrée en § 4.3).</w:t>
      </w:r>
    </w:p>
    <w:p>
      <w:pPr>
        <w:pStyle w:val="Heading3"/>
        <w:spacing w:after="100" w:before="200"/>
      </w:pPr>
      <w:r>
        <w:t xml:space="preserve">Écrans / interfaces associés</w:t>
      </w:r>
    </w:p>
    <w:p>
      <w:pPr>
        <w:pStyle w:val="ListParagraph"/>
        <w:numPr>
          <w:ilvl w:val="0"/>
          <w:numId w:val="1"/>
        </w:numPr>
        <w:spacing w:after="60"/>
      </w:pPr>
      <w:r>
        <w:t xml:space="preserve">Écran « Mes évaluations à planifier » (Responsable hiérarchique) ;</w:t>
      </w:r>
    </w:p>
    <w:p>
      <w:pPr>
        <w:pStyle w:val="ListParagraph"/>
        <w:numPr>
          <w:ilvl w:val="0"/>
          <w:numId w:val="1"/>
        </w:numPr>
        <w:spacing w:after="60"/>
      </w:pPr>
      <w:r>
        <w:t xml:space="preserve">Écran « Mes convocations » (Agent évalué) ;</w:t>
      </w:r>
    </w:p>
    <w:p>
      <w:pPr>
        <w:pStyle w:val="ListParagraph"/>
        <w:numPr>
          <w:ilvl w:val="0"/>
          <w:numId w:val="1"/>
        </w:numPr>
        <w:spacing w:after="60"/>
      </w:pPr>
      <w:r>
        <w:t xml:space="preserve">Vue calendrier des entretiens (Responsable hiérarchique).</w:t>
      </w:r>
    </w:p>
    <w:p>
      <w:pPr>
        <w:pStyle w:val="Heading3"/>
        <w:spacing w:after="100" w:before="200"/>
      </w:pPr>
      <w:r>
        <w:t xml:space="preserve">Règles de gestion spécifiques</w:t>
      </w:r>
    </w:p>
    <w:p>
      <w:pPr>
        <w:pStyle w:val="ListParagraph"/>
        <w:numPr>
          <w:ilvl w:val="0"/>
          <w:numId w:val="1"/>
        </w:numPr>
        <w:spacing w:after="60"/>
      </w:pPr>
      <w:r>
        <w:t xml:space="preserve">Le passage au statut « Entretien planifié » ne peut se faire sans date, heure et lieu renseignés ;</w:t>
      </w:r>
    </w:p>
    <w:p>
      <w:pPr>
        <w:pStyle w:val="ListParagraph"/>
        <w:numPr>
          <w:ilvl w:val="0"/>
          <w:numId w:val="1"/>
        </w:numPr>
        <w:spacing w:after="60"/>
      </w:pPr>
      <w:r>
        <w:t xml:space="preserve">Le module doit vérifier l'absence de conflit d'agenda pour le responsable hiérarchique (chevauchement d'entretiens) et alerter sans bloquer.</w:t>
      </w:r>
    </w:p>
    <w:p>
      <w:pPr>
        <w:pStyle w:val="Heading2"/>
        <w:spacing w:after="150" w:before="300"/>
      </w:pPr>
      <w:r>
        <w:t xml:space="preserve">7.3. Sous-procédure 3 — Évaluer et transmettre</w:t>
      </w:r>
    </w:p>
    <w:p>
      <w:pPr>
        <w:spacing w:after="120"/>
      </w:pPr>
      <w:r>
        <w:rPr>
          <w:b/>
          <w:bCs/>
        </w:rPr>
        <w:t xml:space="preserve">Acteur(s) : </w:t>
      </w:r>
      <w:r>
        <w:t xml:space="preserve">Responsable hiérarchique.</w:t>
      </w:r>
    </w:p>
    <w:p>
      <w:pPr>
        <w:spacing w:after="120"/>
      </w:pPr>
      <w:r>
        <w:rPr>
          <w:b/>
          <w:bCs/>
        </w:rPr>
        <w:t xml:space="preserve">Déclencheur : </w:t>
      </w:r>
      <w:r>
        <w:t xml:space="preserve">Date de l'entretien ; fiche d'objectifs annuels (ou établie lors de l'embauche).</w:t>
      </w:r>
    </w:p>
    <w:p>
      <w:pPr>
        <w:spacing w:after="120"/>
      </w:pPr>
      <w:r>
        <w:rPr>
          <w:b/>
          <w:bCs/>
        </w:rPr>
        <w:t xml:space="preserve">Support(s) documentaire(s) : </w:t>
      </w:r>
      <w:r>
        <w:t xml:space="preserve">Fiche d'évaluation.</w:t>
      </w:r>
    </w:p>
    <w:p>
      <w:pPr>
        <w:pStyle w:val="Heading3"/>
        <w:spacing w:after="100" w:before="200"/>
      </w:pPr>
      <w:r>
        <w:t xml:space="preserve">Tâches métier à couvrir (rappel intégral de la note de cadrage)</w:t>
      </w:r>
    </w:p>
    <w:p>
      <w:pPr>
        <w:spacing w:after="60"/>
        <w:ind w:left="504"/>
      </w:pPr>
      <w:r>
        <w:t xml:space="preserve">1. Préparer le déroulement de l'entretien.</w:t>
      </w:r>
    </w:p>
    <w:p>
      <w:pPr>
        <w:spacing w:after="60"/>
        <w:ind w:left="504"/>
      </w:pPr>
      <w:r>
        <w:t xml:space="preserve">2. S'entretenir avec le collaborateur à évaluer.</w:t>
      </w:r>
    </w:p>
    <w:p>
      <w:pPr>
        <w:spacing w:after="60"/>
        <w:ind w:left="504"/>
      </w:pPr>
      <w:r>
        <w:t xml:space="preserve">3. Effectuer la notation en présence de l'évalué.</w:t>
      </w:r>
    </w:p>
    <w:p>
      <w:pPr>
        <w:spacing w:after="60"/>
        <w:ind w:left="504"/>
      </w:pPr>
      <w:r>
        <w:t xml:space="preserve">4. Discuter de l'évaluation avec le collaborateur évalué.</w:t>
      </w:r>
    </w:p>
    <w:p>
      <w:pPr>
        <w:spacing w:after="60"/>
        <w:ind w:left="504"/>
      </w:pPr>
      <w:r>
        <w:t xml:space="preserve">5. Signer la fiche d'évaluation.</w:t>
      </w:r>
    </w:p>
    <w:p>
      <w:pPr>
        <w:spacing w:after="60"/>
        <w:ind w:left="504"/>
      </w:pPr>
      <w:r>
        <w:t xml:space="preserve">6. Faire signer la fiche d'évaluation au collaborateur après accord de ce dernier.</w:t>
      </w:r>
    </w:p>
    <w:p>
      <w:pPr>
        <w:spacing w:after="60"/>
        <w:ind w:left="504"/>
      </w:pPr>
      <w:r>
        <w:t xml:space="preserve">7. Fixer les objectifs pour la période à venir.</w:t>
      </w:r>
    </w:p>
    <w:p>
      <w:pPr>
        <w:spacing w:after="60"/>
        <w:ind w:left="504"/>
      </w:pPr>
      <w:r>
        <w:t xml:space="preserve">8. Transmettre l'original de la fiche d'évaluation au Directeur Administratif et Financier et conserver une copie.</w:t>
      </w:r>
    </w:p>
    <w:p>
      <w:pPr>
        <w:pStyle w:val="Heading3"/>
        <w:spacing w:after="100" w:before="200"/>
      </w:pPr>
      <w:r>
        <w:t xml:space="preserve">Fonctionnalités système à développer</w:t>
      </w:r>
    </w:p>
    <w:p>
      <w:pPr>
        <w:pStyle w:val="ListParagraph"/>
        <w:numPr>
          <w:ilvl w:val="0"/>
          <w:numId w:val="1"/>
        </w:numPr>
        <w:spacing w:after="60"/>
      </w:pPr>
      <w:r>
        <w:t xml:space="preserve">Écran « Préparer l'entretien » : rappel automatique, en lecture, du plan d'action de la période précédente et de son niveau d'atteinte antérieur, du poste occupé, et de l'historique des évaluations précédentes de l'agent (si disponibles) ;</w:t>
      </w:r>
    </w:p>
    <w:p>
      <w:pPr>
        <w:pStyle w:val="ListParagraph"/>
        <w:numPr>
          <w:ilvl w:val="0"/>
          <w:numId w:val="1"/>
        </w:numPr>
        <w:spacing w:after="60"/>
      </w:pPr>
      <w:r>
        <w:t xml:space="preserve">Formulaire de notation structuré par critère du référentiel applicable (socles, + complémentaires si agent mis à disposition), avec échelle de notation paramétrée et zone de commentaire libre obligatoire par critère noté en dessous d'un seuil paramétrable ;</w:t>
      </w:r>
    </w:p>
    <w:p>
      <w:pPr>
        <w:pStyle w:val="ListParagraph"/>
        <w:numPr>
          <w:ilvl w:val="0"/>
          <w:numId w:val="1"/>
        </w:numPr>
        <w:spacing w:after="60"/>
      </w:pPr>
      <w:r>
        <w:t xml:space="preserve">Bloc « Bilan du plan d'action de la période écoulée » : reprise de chaque objectif fixé l'année précédente avec évaluation du niveau d'atteinte (échelle qualitative) et commentaire ;</w:t>
      </w:r>
    </w:p>
    <w:p>
      <w:pPr>
        <w:pStyle w:val="ListParagraph"/>
        <w:numPr>
          <w:ilvl w:val="0"/>
          <w:numId w:val="1"/>
        </w:numPr>
        <w:spacing w:after="60"/>
      </w:pPr>
      <w:r>
        <w:t xml:space="preserve">Bloc « Besoins en formation et renforcement de capacités » : saisie libre + sélection dans un référentiel de thématiques de formation (alimentant un futur module Plan de formation) ;</w:t>
      </w:r>
    </w:p>
    <w:p>
      <w:pPr>
        <w:pStyle w:val="ListParagraph"/>
        <w:numPr>
          <w:ilvl w:val="0"/>
          <w:numId w:val="1"/>
        </w:numPr>
        <w:spacing w:after="60"/>
      </w:pPr>
      <w:r>
        <w:t xml:space="preserve">Bloc « Objectifs et plan d'action pour la période à venir » : liste d'objectifs SMART (intitulé, échéance, indicateur de suivi) ;</w:t>
      </w:r>
    </w:p>
    <w:p>
      <w:pPr>
        <w:pStyle w:val="ListParagraph"/>
        <w:numPr>
          <w:ilvl w:val="0"/>
          <w:numId w:val="1"/>
        </w:numPr>
        <w:spacing w:after="60"/>
      </w:pPr>
      <w:r>
        <w:t xml:space="preserve">Bloc « Perspectives d'évolution professionnelle envisagées » : zone de texte structurée (souhaits de mobilité, de promotion, de formation qualifiante) ;</w:t>
      </w:r>
    </w:p>
    <w:p>
      <w:pPr>
        <w:pStyle w:val="ListParagraph"/>
        <w:numPr>
          <w:ilvl w:val="0"/>
          <w:numId w:val="1"/>
        </w:numPr>
        <w:spacing w:after="60"/>
      </w:pPr>
      <w:r>
        <w:t xml:space="preserve">Mécanisme de double signature électronique séquentielle : (1) le responsable hiérarchique signe en premier après discussion avec l'agent ; (2) le système notifie l'agent pour recueillir son accord explicite avant sa propre signature ; en cas de désaccord, bascule vers le cas d'exception « Signature refusée » (§ 6) ;</w:t>
      </w:r>
    </w:p>
    <w:p>
      <w:pPr>
        <w:pStyle w:val="ListParagraph"/>
        <w:numPr>
          <w:ilvl w:val="0"/>
          <w:numId w:val="1"/>
        </w:numPr>
        <w:spacing w:after="60"/>
      </w:pPr>
      <w:r>
        <w:t xml:space="preserve">Génération automatique d'un PDF horodaté et non modifiable de la fiche signée, valant original numérique ;</w:t>
      </w:r>
    </w:p>
    <w:p>
      <w:pPr>
        <w:pStyle w:val="ListParagraph"/>
        <w:numPr>
          <w:ilvl w:val="0"/>
          <w:numId w:val="1"/>
        </w:numPr>
        <w:spacing w:after="60"/>
      </w:pPr>
      <w:r>
        <w:t xml:space="preserve">Transmission automatique de l'original numérique au DAF (file d'attente SP4) dès la double signature obtenue, avec conservation d'une copie en lecture seule dans l'espace du responsable hiérarchique (« Mes évaluations menées ») ;</w:t>
      </w:r>
    </w:p>
    <w:p>
      <w:pPr>
        <w:pStyle w:val="ListParagraph"/>
        <w:numPr>
          <w:ilvl w:val="0"/>
          <w:numId w:val="1"/>
        </w:numPr>
        <w:spacing w:after="60"/>
      </w:pPr>
      <w:r>
        <w:t xml:space="preserve">Interdiction technique de modifier une fiche après double signature (toute correction nécessite une procédure d'annulation tracée et une re-signature).</w:t>
      </w:r>
    </w:p>
    <w:p>
      <w:pPr>
        <w:pStyle w:val="Heading3"/>
        <w:spacing w:after="100" w:before="200"/>
      </w:pPr>
      <w:r>
        <w:t xml:space="preserve">Écrans / interfaces associés</w:t>
      </w:r>
    </w:p>
    <w:p>
      <w:pPr>
        <w:pStyle w:val="ListParagraph"/>
        <w:numPr>
          <w:ilvl w:val="0"/>
          <w:numId w:val="1"/>
        </w:numPr>
        <w:spacing w:after="60"/>
      </w:pPr>
      <w:r>
        <w:t xml:space="preserve">Écran « Conduite de l'entretien / Notation » (Responsable hiérarchique) — utilisable en séance, y compris hors connexion avec synchronisation différée (mode dégradé) ;</w:t>
      </w:r>
    </w:p>
    <w:p>
      <w:pPr>
        <w:pStyle w:val="ListParagraph"/>
        <w:numPr>
          <w:ilvl w:val="0"/>
          <w:numId w:val="1"/>
        </w:numPr>
        <w:spacing w:after="60"/>
      </w:pPr>
      <w:r>
        <w:t xml:space="preserve">Écran « Accord et signature » (Agent évalué) ;</w:t>
      </w:r>
    </w:p>
    <w:p>
      <w:pPr>
        <w:pStyle w:val="ListParagraph"/>
        <w:numPr>
          <w:ilvl w:val="0"/>
          <w:numId w:val="1"/>
        </w:numPr>
        <w:spacing w:after="60"/>
      </w:pPr>
      <w:r>
        <w:t xml:space="preserve">Visualiseur de fiche PDF signée (tous acteurs habilités selon droits).</w:t>
      </w:r>
    </w:p>
    <w:p>
      <w:pPr>
        <w:pStyle w:val="Heading3"/>
        <w:spacing w:after="100" w:before="200"/>
      </w:pPr>
      <w:r>
        <w:t xml:space="preserve">Règles de gestion spécifiques</w:t>
      </w:r>
    </w:p>
    <w:p>
      <w:pPr>
        <w:pStyle w:val="ListParagraph"/>
        <w:numPr>
          <w:ilvl w:val="0"/>
          <w:numId w:val="1"/>
        </w:numPr>
        <w:spacing w:after="60"/>
      </w:pPr>
      <w:r>
        <w:t xml:space="preserve">La notation ne peut être effectuée qu'après passage au statut « Entretien planifié » (pas de notation « à froid » sans entretien tracé), sauf dérogation motivée (ex. entretien tenu en présentiel sans connexion, saisie a posteriori avec date réelle de l'entretien) ;</w:t>
      </w:r>
    </w:p>
    <w:p>
      <w:pPr>
        <w:pStyle w:val="ListParagraph"/>
        <w:numPr>
          <w:ilvl w:val="0"/>
          <w:numId w:val="1"/>
        </w:numPr>
        <w:spacing w:after="60"/>
      </w:pPr>
      <w:r>
        <w:t xml:space="preserve">Aucun critère ne peut rester non noté à la transmission ;</w:t>
      </w:r>
    </w:p>
    <w:p>
      <w:pPr>
        <w:pStyle w:val="ListParagraph"/>
        <w:numPr>
          <w:ilvl w:val="0"/>
          <w:numId w:val="1"/>
        </w:numPr>
        <w:spacing w:after="60"/>
      </w:pPr>
      <w:r>
        <w:t xml:space="preserve">Le principe de non-caractère disciplinaire (§ 2) est rappelé en bandeau sur l'écran de notation.</w:t>
      </w:r>
    </w:p>
    <w:p>
      <w:pPr>
        <w:pStyle w:val="Heading2"/>
        <w:spacing w:after="150" w:before="300"/>
      </w:pPr>
      <w:r>
        <w:t xml:space="preserve">7.4. Sous-procédure 4 — Élaboration du tableau de synthèse des évaluations</w:t>
      </w:r>
    </w:p>
    <w:p>
      <w:pPr>
        <w:spacing w:after="120"/>
      </w:pPr>
      <w:r>
        <w:rPr>
          <w:b/>
          <w:bCs/>
        </w:rPr>
        <w:t xml:space="preserve">Acteur(s) : </w:t>
      </w:r>
      <w:r>
        <w:t xml:space="preserve">Directeur Administratif et Financier ; Division des Ressources humaines (en appui).</w:t>
      </w:r>
    </w:p>
    <w:p>
      <w:pPr>
        <w:spacing w:after="120"/>
      </w:pPr>
      <w:r>
        <w:rPr>
          <w:b/>
          <w:bCs/>
        </w:rPr>
        <w:t xml:space="preserve">Déclencheur : </w:t>
      </w:r>
      <w:r>
        <w:t xml:space="preserve">Fiches d'évaluation signées.</w:t>
      </w:r>
    </w:p>
    <w:p>
      <w:pPr>
        <w:spacing w:after="120"/>
      </w:pPr>
      <w:r>
        <w:rPr>
          <w:b/>
          <w:bCs/>
        </w:rPr>
        <w:t xml:space="preserve">Support(s) documentaire(s) : </w:t>
      </w:r>
      <w:r>
        <w:t xml:space="preserve">Tableau de synthèse des évaluations.</w:t>
      </w:r>
    </w:p>
    <w:p>
      <w:pPr>
        <w:pStyle w:val="Heading3"/>
        <w:spacing w:after="100" w:before="200"/>
      </w:pPr>
      <w:r>
        <w:t xml:space="preserve">Tâches métier à couvrir (rappel intégral de la note de cadrage)</w:t>
      </w:r>
    </w:p>
    <w:p>
      <w:pPr>
        <w:spacing w:after="60"/>
        <w:ind w:left="504"/>
      </w:pPr>
      <w:r>
        <w:t xml:space="preserve">1. Réceptionner les fiches d'évaluation signées.</w:t>
      </w:r>
    </w:p>
    <w:p>
      <w:pPr>
        <w:spacing w:after="60"/>
        <w:ind w:left="504"/>
      </w:pPr>
      <w:r>
        <w:t xml:space="preserve">2. Faire la synthèse des évaluations dans un tableau suivant les entités.</w:t>
      </w:r>
    </w:p>
    <w:p>
      <w:pPr>
        <w:spacing w:after="60"/>
        <w:ind w:left="504"/>
      </w:pPr>
      <w:r>
        <w:t xml:space="preserve">3. Transmettre le tableau récapitulatif au Directeur général.</w:t>
      </w:r>
    </w:p>
    <w:p>
      <w:pPr>
        <w:pStyle w:val="Heading3"/>
        <w:spacing w:after="100" w:before="200"/>
      </w:pPr>
      <w:r>
        <w:t xml:space="preserve">Fonctionnalités système à développer</w:t>
      </w:r>
    </w:p>
    <w:p>
      <w:pPr>
        <w:pStyle w:val="ListParagraph"/>
        <w:numPr>
          <w:ilvl w:val="0"/>
          <w:numId w:val="1"/>
        </w:numPr>
        <w:spacing w:after="60"/>
      </w:pPr>
      <w:r>
        <w:t xml:space="preserve">File d'attente « Fiches à réceptionner » (DAF et Division RH en consultation/appui) listant les fiches transmises, avec accusé de réception formel du DAF (horodaté) qui déclenche la prise en charge ;</w:t>
      </w:r>
    </w:p>
    <w:p>
      <w:pPr>
        <w:pStyle w:val="ListParagraph"/>
        <w:numPr>
          <w:ilvl w:val="0"/>
          <w:numId w:val="1"/>
        </w:numPr>
        <w:spacing w:after="60"/>
      </w:pPr>
      <w:r>
        <w:t xml:space="preserve">Contrôle automatique de complétude : liste des agents du périmètre de campagne sans fiche encore réceptionnée, avec relance possible en un clic vers le responsable hiérarchique concerné ;</w:t>
      </w:r>
    </w:p>
    <w:p>
      <w:pPr>
        <w:pStyle w:val="ListParagraph"/>
        <w:numPr>
          <w:ilvl w:val="0"/>
          <w:numId w:val="1"/>
        </w:numPr>
        <w:spacing w:after="60"/>
      </w:pPr>
      <w:r>
        <w:t xml:space="preserve">Génération automatique du tableau de synthèse, agrégeant par structure/entité : effectif évalué / effectif total, notes moyennes par critère, notes individuelles, taux d'entretiens tenus, synthèse des besoins de formation exprimés ;</w:t>
      </w:r>
    </w:p>
    <w:p>
      <w:pPr>
        <w:pStyle w:val="ListParagraph"/>
        <w:numPr>
          <w:ilvl w:val="0"/>
          <w:numId w:val="1"/>
        </w:numPr>
        <w:spacing w:after="60"/>
      </w:pPr>
      <w:r>
        <w:t xml:space="preserve">Édition et export du tableau de synthèse aux formats Excel et PDF ;</w:t>
      </w:r>
    </w:p>
    <w:p>
      <w:pPr>
        <w:pStyle w:val="ListParagraph"/>
        <w:numPr>
          <w:ilvl w:val="0"/>
          <w:numId w:val="1"/>
        </w:numPr>
        <w:spacing w:after="60"/>
      </w:pPr>
      <w:r>
        <w:t xml:space="preserve">Fonction de contribution collaborative de la Division RH (annotations, vérifications) sans droit de validation finale — seul le DAF peut transmettre officiellement le tableau au DG (conformément à la note : « la synthèse des évaluations relève du DAF ; la Division RH y est associée en tant qu'appui, sans se substituer au DAF ») ;</w:t>
      </w:r>
    </w:p>
    <w:p>
      <w:pPr>
        <w:pStyle w:val="ListParagraph"/>
        <w:numPr>
          <w:ilvl w:val="0"/>
          <w:numId w:val="1"/>
        </w:numPr>
        <w:spacing w:after="60"/>
      </w:pPr>
      <w:r>
        <w:t xml:space="preserve">Action « Transmettre au Directeur général » (DAF uniquement), figeant une version horodatée du tableau et notifiant le DG/SG.</w:t>
      </w:r>
    </w:p>
    <w:p>
      <w:pPr>
        <w:pStyle w:val="Heading3"/>
        <w:spacing w:after="100" w:before="200"/>
      </w:pPr>
      <w:r>
        <w:t xml:space="preserve">Écrans / interfaces associés</w:t>
      </w:r>
    </w:p>
    <w:p>
      <w:pPr>
        <w:pStyle w:val="ListParagraph"/>
        <w:numPr>
          <w:ilvl w:val="0"/>
          <w:numId w:val="1"/>
        </w:numPr>
        <w:spacing w:after="60"/>
      </w:pPr>
      <w:r>
        <w:t xml:space="preserve">Écran « Réception des fiches » (DAF / Division RH) ;</w:t>
      </w:r>
    </w:p>
    <w:p>
      <w:pPr>
        <w:pStyle w:val="ListParagraph"/>
        <w:numPr>
          <w:ilvl w:val="0"/>
          <w:numId w:val="1"/>
        </w:numPr>
        <w:spacing w:after="60"/>
      </w:pPr>
      <w:r>
        <w:t xml:space="preserve">Écran « Tableau de synthèse » avec filtres par structure, statut, période (DAF, Division RH, DG en lecture après transmission) ;</w:t>
      </w:r>
    </w:p>
    <w:p>
      <w:pPr>
        <w:pStyle w:val="ListParagraph"/>
        <w:numPr>
          <w:ilvl w:val="0"/>
          <w:numId w:val="1"/>
        </w:numPr>
        <w:spacing w:after="60"/>
      </w:pPr>
      <w:r>
        <w:t xml:space="preserve">Export Excel / PDF du tableau de synthèse.</w:t>
      </w:r>
    </w:p>
    <w:p>
      <w:pPr>
        <w:pStyle w:val="Heading3"/>
        <w:spacing w:after="100" w:before="200"/>
      </w:pPr>
      <w:r>
        <w:t xml:space="preserve">Règles de gestion spécifiques</w:t>
      </w:r>
    </w:p>
    <w:p>
      <w:pPr>
        <w:pStyle w:val="ListParagraph"/>
        <w:numPr>
          <w:ilvl w:val="0"/>
          <w:numId w:val="1"/>
        </w:numPr>
        <w:spacing w:after="60"/>
      </w:pPr>
      <w:r>
        <w:t xml:space="preserve">Le tableau de synthèse ne peut être transmis au DG tant que le taux de complétude n'est pas explicitement confirmé par le DAF (validation avec état des lieux des fiches manquantes, le cas échéant justifiées) ;</w:t>
      </w:r>
    </w:p>
    <w:p>
      <w:pPr>
        <w:pStyle w:val="ListParagraph"/>
        <w:numPr>
          <w:ilvl w:val="0"/>
          <w:numId w:val="1"/>
        </w:numPr>
        <w:spacing w:after="60"/>
      </w:pPr>
      <w:r>
        <w:t xml:space="preserve">Toute modification du tableau après transmission au DG génère une nouvelle version horodatée, l'ancienne restant consultable (historique).</w:t>
      </w:r>
    </w:p>
    <w:p>
      <w:pPr>
        <w:pStyle w:val="Heading2"/>
        <w:spacing w:after="150" w:before="300"/>
      </w:pPr>
      <w:r>
        <w:t xml:space="preserve">7.5. Sous-procédure 5 — Étudier les rapports, notifier et transmettre</w:t>
      </w:r>
    </w:p>
    <w:p>
      <w:pPr>
        <w:spacing w:after="120"/>
      </w:pPr>
      <w:r>
        <w:rPr>
          <w:b/>
          <w:bCs/>
        </w:rPr>
        <w:t xml:space="preserve">Acteur(s) : </w:t>
      </w:r>
      <w:r>
        <w:t xml:space="preserve">Directeur général, Secrétaire général.</w:t>
      </w:r>
    </w:p>
    <w:p>
      <w:pPr>
        <w:spacing w:after="120"/>
      </w:pPr>
      <w:r>
        <w:rPr>
          <w:b/>
          <w:bCs/>
        </w:rPr>
        <w:t xml:space="preserve">Déclencheur : </w:t>
      </w:r>
      <w:r>
        <w:t xml:space="preserve">Rapports des évaluations (tableau de synthèse).</w:t>
      </w:r>
    </w:p>
    <w:p>
      <w:pPr>
        <w:spacing w:after="120"/>
      </w:pPr>
      <w:r>
        <w:rPr>
          <w:b/>
          <w:bCs/>
        </w:rPr>
        <w:t xml:space="preserve">Support(s) documentaire(s) : </w:t>
      </w:r>
      <w:r>
        <w:t xml:space="preserve">Tableau de synthèse annoté.</w:t>
      </w:r>
    </w:p>
    <w:p>
      <w:pPr>
        <w:pStyle w:val="Heading3"/>
        <w:spacing w:after="100" w:before="200"/>
      </w:pPr>
      <w:r>
        <w:t xml:space="preserve">Tâches métier à couvrir (rappel intégral de la note de cadrage)</w:t>
      </w:r>
    </w:p>
    <w:p>
      <w:pPr>
        <w:spacing w:after="60"/>
        <w:ind w:left="504"/>
      </w:pPr>
      <w:r>
        <w:t xml:space="preserve">1. Prendre connaissance du rapport de synthèse.</w:t>
      </w:r>
    </w:p>
    <w:p>
      <w:pPr>
        <w:spacing w:after="60"/>
        <w:ind w:left="504"/>
      </w:pPr>
      <w:r>
        <w:t xml:space="preserve">2. Décider des gratifications.</w:t>
      </w:r>
    </w:p>
    <w:p>
      <w:pPr>
        <w:spacing w:after="60"/>
        <w:ind w:left="504"/>
      </w:pPr>
      <w:r>
        <w:t xml:space="preserve">3. Transmettre les informations nécessaires au Directeur Administratif et Financier pour notification aux agents.</w:t>
      </w:r>
    </w:p>
    <w:p>
      <w:pPr>
        <w:pStyle w:val="Heading3"/>
        <w:spacing w:after="100" w:before="200"/>
      </w:pPr>
      <w:r>
        <w:t xml:space="preserve">Fonctionnalités système à développer</w:t>
      </w:r>
    </w:p>
    <w:p>
      <w:pPr>
        <w:pStyle w:val="ListParagraph"/>
        <w:numPr>
          <w:ilvl w:val="0"/>
          <w:numId w:val="1"/>
        </w:numPr>
        <w:spacing w:after="60"/>
      </w:pPr>
      <w:r>
        <w:t xml:space="preserve">Écran « Étude du rapport de synthèse » (DG, en co-consultation SG) présentant le tableau consolidé avec possibilité de filtrage et de zoom sur une fiche individuelle ;</w:t>
      </w:r>
    </w:p>
    <w:p>
      <w:pPr>
        <w:pStyle w:val="ListParagraph"/>
        <w:numPr>
          <w:ilvl w:val="0"/>
          <w:numId w:val="1"/>
        </w:numPr>
        <w:spacing w:after="60"/>
      </w:pPr>
      <w:r>
        <w:t xml:space="preserve">Fonction d'annotation par agent ou par structure (zone de commentaire libre du DG) ;</w:t>
      </w:r>
    </w:p>
    <w:p>
      <w:pPr>
        <w:pStyle w:val="ListParagraph"/>
        <w:numPr>
          <w:ilvl w:val="0"/>
          <w:numId w:val="1"/>
        </w:numPr>
        <w:spacing w:after="60"/>
      </w:pPr>
      <w:r>
        <w:t xml:space="preserve">Module « Décision de gratification » : pour chaque agent, enregistrement d'une décision parmi une liste paramétrable (ex. : prime, lettre de félicitation, proposition de promotion, aucune, avertissement écrit — hors procédure disciplinaire formelle) avec commentaire justificatif ;</w:t>
      </w:r>
    </w:p>
    <w:p>
      <w:pPr>
        <w:pStyle w:val="ListParagraph"/>
        <w:numPr>
          <w:ilvl w:val="0"/>
          <w:numId w:val="1"/>
        </w:numPr>
        <w:spacing w:after="60"/>
      </w:pPr>
      <w:r>
        <w:t xml:space="preserve">Action « Valider et transmettre au DAF » : fige le tableau annoté (« tableau de synthèse annoté ») et notifie le DAF, déclenchant la sous-procédure 6 ;</w:t>
      </w:r>
    </w:p>
    <w:p>
      <w:pPr>
        <w:pStyle w:val="ListParagraph"/>
        <w:numPr>
          <w:ilvl w:val="0"/>
          <w:numId w:val="1"/>
        </w:numPr>
        <w:spacing w:after="60"/>
      </w:pPr>
      <w:r>
        <w:t xml:space="preserve">Interface de préparation d'une interface de transmission vers le module Paie/RH de NiidPro pour les décisions de gratification à impact financier (cf. § 8.4), sans automatiser l'exécution financière depuis ce module.</w:t>
      </w:r>
    </w:p>
    <w:p>
      <w:pPr>
        <w:pStyle w:val="Heading3"/>
        <w:spacing w:after="100" w:before="200"/>
      </w:pPr>
      <w:r>
        <w:t xml:space="preserve">Écrans / interfaces associés</w:t>
      </w:r>
    </w:p>
    <w:p>
      <w:pPr>
        <w:pStyle w:val="ListParagraph"/>
        <w:numPr>
          <w:ilvl w:val="0"/>
          <w:numId w:val="1"/>
        </w:numPr>
        <w:spacing w:after="60"/>
      </w:pPr>
      <w:r>
        <w:t xml:space="preserve">Écran « Étude et décision » (DG, avec vue partagée SG) ;</w:t>
      </w:r>
    </w:p>
    <w:p>
      <w:pPr>
        <w:pStyle w:val="ListParagraph"/>
        <w:numPr>
          <w:ilvl w:val="0"/>
          <w:numId w:val="1"/>
        </w:numPr>
        <w:spacing w:after="60"/>
      </w:pPr>
      <w:r>
        <w:t xml:space="preserve">Écran « Décisions de gratification » (DG).</w:t>
      </w:r>
    </w:p>
    <w:p>
      <w:pPr>
        <w:pStyle w:val="Heading3"/>
        <w:spacing w:after="100" w:before="200"/>
      </w:pPr>
      <w:r>
        <w:t xml:space="preserve">Règles de gestion spécifiques</w:t>
      </w:r>
    </w:p>
    <w:p>
      <w:pPr>
        <w:pStyle w:val="ListParagraph"/>
        <w:numPr>
          <w:ilvl w:val="0"/>
          <w:numId w:val="1"/>
        </w:numPr>
        <w:spacing w:after="60"/>
      </w:pPr>
      <w:r>
        <w:t xml:space="preserve">Le SG dispose d'un accès de consultation et de co-annotation, mais seule la validation du DG fait foi et déclenche la transmission (conformément à « Directeur général, appuyé par le Secrétaire général ») ;</w:t>
      </w:r>
    </w:p>
    <w:p>
      <w:pPr>
        <w:pStyle w:val="ListParagraph"/>
        <w:numPr>
          <w:ilvl w:val="0"/>
          <w:numId w:val="1"/>
        </w:numPr>
        <w:spacing w:after="60"/>
      </w:pPr>
      <w:r>
        <w:t xml:space="preserve">Une fois validé et transmis, le tableau annoté n'est plus modifiable par le DG (traçabilité de la décision finale).</w:t>
      </w:r>
    </w:p>
    <w:p>
      <w:pPr>
        <w:pStyle w:val="Heading2"/>
        <w:spacing w:after="150" w:before="300"/>
      </w:pPr>
      <w:r>
        <w:t xml:space="preserve">7.6. Sous-procédure 6 — Informer les agents</w:t>
      </w:r>
    </w:p>
    <w:p>
      <w:pPr>
        <w:spacing w:after="120"/>
      </w:pPr>
      <w:r>
        <w:rPr>
          <w:b/>
          <w:bCs/>
        </w:rPr>
        <w:t xml:space="preserve">Acteur(s) : </w:t>
      </w:r>
      <w:r>
        <w:t xml:space="preserve">Directeur Administratif et Financier.</w:t>
      </w:r>
    </w:p>
    <w:p>
      <w:pPr>
        <w:spacing w:after="120"/>
      </w:pPr>
      <w:r>
        <w:rPr>
          <w:b/>
          <w:bCs/>
        </w:rPr>
        <w:t xml:space="preserve">Déclencheur : </w:t>
      </w:r>
      <w:r>
        <w:t xml:space="preserve">Tableau de synthèse des évaluations annoté.</w:t>
      </w:r>
    </w:p>
    <w:p>
      <w:pPr>
        <w:spacing w:after="120"/>
      </w:pPr>
      <w:r>
        <w:rPr>
          <w:b/>
          <w:bCs/>
        </w:rPr>
        <w:t xml:space="preserve">Support(s) documentaire(s) : </w:t>
      </w:r>
      <w:r>
        <w:t xml:space="preserve">Courriers de notification.</w:t>
      </w:r>
    </w:p>
    <w:p>
      <w:pPr>
        <w:pStyle w:val="Heading3"/>
        <w:spacing w:after="100" w:before="200"/>
      </w:pPr>
      <w:r>
        <w:t xml:space="preserve">Tâches métier à couvrir (rappel intégral de la note de cadrage)</w:t>
      </w:r>
    </w:p>
    <w:p>
      <w:pPr>
        <w:spacing w:after="60"/>
        <w:ind w:left="504"/>
      </w:pPr>
      <w:r>
        <w:t xml:space="preserve">1. Établir les courriers de notification aux agents.</w:t>
      </w:r>
    </w:p>
    <w:p>
      <w:pPr>
        <w:spacing w:after="60"/>
        <w:ind w:left="504"/>
      </w:pPr>
      <w:r>
        <w:t xml:space="preserve">2. Faire signer les courriers et les transmettre aux agents.</w:t>
      </w:r>
    </w:p>
    <w:p>
      <w:pPr>
        <w:pStyle w:val="Heading3"/>
        <w:spacing w:after="100" w:before="200"/>
      </w:pPr>
      <w:r>
        <w:t xml:space="preserve">Fonctionnalités système à développer</w:t>
      </w:r>
    </w:p>
    <w:p>
      <w:pPr>
        <w:pStyle w:val="ListParagraph"/>
        <w:numPr>
          <w:ilvl w:val="0"/>
          <w:numId w:val="1"/>
        </w:numPr>
        <w:spacing w:after="60"/>
      </w:pPr>
      <w:r>
        <w:t xml:space="preserve">Génération automatique, à partir d'un modèle paramétrable, d'un courrier de notification individualisé par agent, reprenant a minima le résultat global de son évaluation et, si applicable, la décision le concernant (hors détails confidentiels non destinés à figurer sur le courrier, paramétrables) ;</w:t>
      </w:r>
    </w:p>
    <w:p>
      <w:pPr>
        <w:pStyle w:val="ListParagraph"/>
        <w:numPr>
          <w:ilvl w:val="0"/>
          <w:numId w:val="1"/>
        </w:numPr>
        <w:spacing w:after="60"/>
      </w:pPr>
      <w:r>
        <w:t xml:space="preserve">Circuit de signature électronique du DAF sur chaque courrier (ou lot de courriers) ;</w:t>
      </w:r>
    </w:p>
    <w:p>
      <w:pPr>
        <w:pStyle w:val="ListParagraph"/>
        <w:numPr>
          <w:ilvl w:val="0"/>
          <w:numId w:val="1"/>
        </w:numPr>
        <w:spacing w:after="60"/>
      </w:pPr>
      <w:r>
        <w:t xml:space="preserve">Transmission du courrier à l'agent par le canal paramétré (portail agent NiidPro en libre-service, et/ou courriel, et/ou remise en main propre avec émargement scanné) ;</w:t>
      </w:r>
    </w:p>
    <w:p>
      <w:pPr>
        <w:pStyle w:val="ListParagraph"/>
        <w:numPr>
          <w:ilvl w:val="0"/>
          <w:numId w:val="1"/>
        </w:numPr>
        <w:spacing w:after="60"/>
      </w:pPr>
      <w:r>
        <w:t xml:space="preserve">Accusé de réception / de consultation par l'agent, tracé avec horodatage ;</w:t>
      </w:r>
    </w:p>
    <w:p>
      <w:pPr>
        <w:pStyle w:val="ListParagraph"/>
        <w:numPr>
          <w:ilvl w:val="0"/>
          <w:numId w:val="1"/>
        </w:numPr>
        <w:spacing w:after="60"/>
      </w:pPr>
      <w:r>
        <w:t xml:space="preserve">Passage automatique de la fiche au statut « Notifiée », puis « Archivée » après un délai paramétrable ou une action explicite du DAF.</w:t>
      </w:r>
    </w:p>
    <w:p>
      <w:pPr>
        <w:pStyle w:val="Heading3"/>
        <w:spacing w:after="100" w:before="200"/>
      </w:pPr>
      <w:r>
        <w:t xml:space="preserve">Écrans / interfaces associés</w:t>
      </w:r>
    </w:p>
    <w:p>
      <w:pPr>
        <w:pStyle w:val="ListParagraph"/>
        <w:numPr>
          <w:ilvl w:val="0"/>
          <w:numId w:val="1"/>
        </w:numPr>
        <w:spacing w:after="60"/>
      </w:pPr>
      <w:r>
        <w:t xml:space="preserve">Écran « Notification des agents » (DAF) — génération et suivi en lot ;</w:t>
      </w:r>
    </w:p>
    <w:p>
      <w:pPr>
        <w:pStyle w:val="ListParagraph"/>
        <w:numPr>
          <w:ilvl w:val="0"/>
          <w:numId w:val="1"/>
        </w:numPr>
        <w:spacing w:after="60"/>
      </w:pPr>
      <w:r>
        <w:t xml:space="preserve">Espace « Mon évaluation » (Agent) — consultation du résultat notifié et téléchargement du courrier.</w:t>
      </w:r>
    </w:p>
    <w:p>
      <w:pPr>
        <w:pStyle w:val="Heading3"/>
        <w:spacing w:after="100" w:before="200"/>
      </w:pPr>
      <w:r>
        <w:t xml:space="preserve">Règles de gestion spécifiques</w:t>
      </w:r>
    </w:p>
    <w:p>
      <w:pPr>
        <w:pStyle w:val="ListParagraph"/>
        <w:numPr>
          <w:ilvl w:val="0"/>
          <w:numId w:val="1"/>
        </w:numPr>
        <w:spacing w:after="60"/>
      </w:pPr>
      <w:r>
        <w:t xml:space="preserve">Aucune notification individuelle ne peut être générée avant la transmission officielle du tableau annoté par le DG (fin SP5) ;</w:t>
      </w:r>
    </w:p>
    <w:p>
      <w:pPr>
        <w:pStyle w:val="ListParagraph"/>
        <w:numPr>
          <w:ilvl w:val="0"/>
          <w:numId w:val="1"/>
        </w:numPr>
        <w:spacing w:after="60"/>
      </w:pPr>
      <w:r>
        <w:t xml:space="preserve">Le module doit permettre de vérifier, en fin de campagne, que 100 % des agents évalués ont bien reçu une notification, avec liste d'exceptions justifiées le cas échéant.</w:t>
      </w:r>
    </w:p>
    <w:p>
      <w:pPr>
        <w:pStyle w:val="Heading1"/>
        <w:spacing w:after="200" w:before="400"/>
      </w:pPr>
      <w:r>
        <w:t xml:space="preserve">8. Cas particuliers et règles de gestion transverses</w:t>
      </w:r>
    </w:p>
    <w:p>
      <w:pPr>
        <w:pStyle w:val="Heading2"/>
        <w:spacing w:after="150" w:before="300"/>
      </w:pPr>
      <w:r>
        <w:t xml:space="preserve">8.1. Évaluation des chefs de service et responsables hiérarchiques</w:t>
      </w:r>
    </w:p>
    <w:p>
      <w:pPr>
        <w:spacing w:after="120"/>
      </w:pPr>
      <w:r>
        <w:t xml:space="preserve">Conformément à la note de cadrage, les chefs de service et responsables hiérarchiques sont eux-mêmes évalués par le Directeur général, appuyé par le Secrétaire général. Le module doit donc permettre d'affecter, pour ce sous-ensemble d'agents, le rôle d'évaluateur « Responsable hiérarchique » de leur fiche au DG (avec SG en appui/co-consultation), au lieu du rattachement organigramme standard. Cette bascule est paramétrable par agent au niveau du référentiel structure (§ 4.2), sans développement spécifique de circuit.</w:t>
      </w:r>
    </w:p>
    <w:p>
      <w:pPr>
        <w:pStyle w:val="Heading2"/>
        <w:spacing w:after="150" w:before="300"/>
      </w:pPr>
      <w:r>
        <w:t xml:space="preserve">8.2. Centralisation par les chefs de service et avis du Directeur général</w:t>
      </w:r>
    </w:p>
    <w:p>
      <w:pPr>
        <w:spacing w:after="120"/>
      </w:pPr>
      <w:r>
        <w:t xml:space="preserve">Le Manuel précise que les chefs de service sont chargés de centraliser les fiches d'évaluation de leurs équipes et d'y mentionner leur avis, et que le Directeur général peut y ajouter des observations lorsqu'il s'agit d'un cadre. Le module doit donc prévoir : (i) un champ « Avis du chef de service » distinct du champ de notation par critère, renseignable au niveau de la fiche globale ; (ii) un champ optionnel « Observations du Directeur général », visible et modifiable uniquement par le DG, activable pour les fiches d'agents ayant le statut « Cadre » dans leur fiche RH.</w:t>
      </w:r>
    </w:p>
    <w:p>
      <w:pPr>
        <w:pStyle w:val="Heading2"/>
        <w:spacing w:after="150" w:before="300"/>
      </w:pPr>
      <w:r>
        <w:t xml:space="preserve">8.3. Personnel relevant de la Fonction publique — double évaluation</w:t>
      </w:r>
    </w:p>
    <w:p>
      <w:pPr>
        <w:spacing w:after="120"/>
      </w:pPr>
      <w:r>
        <w:t xml:space="preserve">Le module rappelle systématiquement, sur la fiche des agents concernés, l'existence d'une notation statutaire parallèle gérée par la Fonction publique (hors périmètre applicatif), et permet le rattachement d'un document justificatif (scan de la notation statutaire) au dossier de l'agent à titre d'archivage complémentaire, sans lien fonctionnel avec le circuit de la campagne ANASER.</w:t>
      </w:r>
    </w:p>
    <w:p>
      <w:pPr>
        <w:pStyle w:val="Heading2"/>
        <w:spacing w:after="150" w:before="300"/>
      </w:pPr>
      <w:r>
        <w:t xml:space="preserve">8.4. Interface avec les autres modules NiidPro</w:t>
      </w:r>
    </w:p>
    <w:p>
      <w:pPr>
        <w:pStyle w:val="ListParagraph"/>
        <w:numPr>
          <w:ilvl w:val="0"/>
          <w:numId w:val="1"/>
        </w:numPr>
        <w:spacing w:after="60"/>
      </w:pPr>
      <w:r>
        <w:t xml:space="preserve">Module Organigramme / Structures : source du rattachement hiérarchique automatique (§ 4.2) ;</w:t>
      </w:r>
    </w:p>
    <w:p>
      <w:pPr>
        <w:pStyle w:val="ListParagraph"/>
        <w:numPr>
          <w:ilvl w:val="0"/>
          <w:numId w:val="1"/>
        </w:numPr>
        <w:spacing w:after="60"/>
      </w:pPr>
      <w:r>
        <w:t xml:space="preserve">Module Dossier administratif de l'agent (GED) : réception de l'original numérique de la fiche signée en fin de campagne (§ 9) ;</w:t>
      </w:r>
    </w:p>
    <w:p>
      <w:pPr>
        <w:pStyle w:val="ListParagraph"/>
        <w:numPr>
          <w:ilvl w:val="0"/>
          <w:numId w:val="1"/>
        </w:numPr>
        <w:spacing w:after="60"/>
      </w:pPr>
      <w:r>
        <w:t xml:space="preserve">Module Formation (si existant / à venir) : réception des besoins de formation consolidés issus de la sous-procédure 4 ;</w:t>
      </w:r>
    </w:p>
    <w:p>
      <w:pPr>
        <w:pStyle w:val="ListParagraph"/>
        <w:numPr>
          <w:ilvl w:val="0"/>
          <w:numId w:val="1"/>
        </w:numPr>
        <w:spacing w:after="60"/>
      </w:pPr>
      <w:r>
        <w:t xml:space="preserve">Module Paie (si existant / à venir) : réception, en lecture, des décisions de gratification à impact financier validées en sous-procédure 5, pour traitement manuel ou semi-automatisé hors périmètre du présent module.</w:t>
      </w:r>
    </w:p>
    <w:p>
      <w:pPr>
        <w:pStyle w:val="Heading2"/>
        <w:spacing w:after="150" w:before="300"/>
      </w:pPr>
      <w:r>
        <w:t xml:space="preserve">8.5. Multi-campagnes et historique</w:t>
      </w:r>
    </w:p>
    <w:p>
      <w:pPr>
        <w:spacing w:after="120"/>
      </w:pPr>
      <w:r>
        <w:t xml:space="preserve">Le module doit conserver, sans limite de durée, l'historique de toutes les campagnes closes et permettre leur consultation en lecture seule (comparaison d'une campagne à l'autre pour un même agent, évolution des notes par critère dans le temps), utile notamment lors de la préparation de l'entretien suivant (§ 7.3).</w:t>
      </w:r>
    </w:p>
    <w:p>
      <w:pPr>
        <w:pStyle w:val="Heading1"/>
        <w:spacing w:after="200" w:before="400"/>
      </w:pPr>
      <w:r>
        <w:t xml:space="preserve">9. Confidentialité, archivage et traçabilité</w:t>
      </w:r>
    </w:p>
    <w:p>
      <w:pPr>
        <w:spacing w:after="120"/>
      </w:pPr>
      <w:r>
        <w:t xml:space="preserve">Conformément à l'article « Confidentialité et archivage » de la note de cadrage, les fiches d'évaluation sont des documents administratifs confidentiels. Le module doit garantir :</w:t>
      </w:r>
    </w:p>
    <w:p>
      <w:pPr>
        <w:pStyle w:val="ListParagraph"/>
        <w:numPr>
          <w:ilvl w:val="0"/>
          <w:numId w:val="1"/>
        </w:numPr>
        <w:spacing w:after="60"/>
      </w:pPr>
      <w:r>
        <w:t xml:space="preserve">Un contrôle d'accès strict basé sur les rôles (§ 5) : un agent ne peut consulter que sa propre fiche ; un responsable hiérarchique ne peut consulter que les fiches des agents actuellement ou historiquement sous sa supervision directe ; le DAF et le DG disposent d'un accès étendu conforme à leurs responsabilités ; la Division RH dispose d'un accès en appui, sans droit de validation ;</w:t>
      </w:r>
    </w:p>
    <w:p>
      <w:pPr>
        <w:pStyle w:val="ListParagraph"/>
        <w:numPr>
          <w:ilvl w:val="0"/>
          <w:numId w:val="1"/>
        </w:numPr>
        <w:spacing w:after="60"/>
      </w:pPr>
      <w:r>
        <w:t xml:space="preserve">La conservation de l'original numérique de la fiche signée dans le dossier administratif de l'agent (module GED / dossier agent NiidPro), sous la responsabilité du DAF, conformément au Manuel ;</w:t>
      </w:r>
    </w:p>
    <w:p>
      <w:pPr>
        <w:pStyle w:val="ListParagraph"/>
        <w:numPr>
          <w:ilvl w:val="0"/>
          <w:numId w:val="1"/>
        </w:numPr>
        <w:spacing w:after="60"/>
      </w:pPr>
      <w:r>
        <w:t xml:space="preserve">La conservation d'une copie par le responsable hiérarchique, consultable même après un changement d'affectation de ce dernier (historisation du lien évaluateur/évalué au moment de l'évaluation, indépendamment de l'organigramme courant) ;</w:t>
      </w:r>
    </w:p>
    <w:p>
      <w:pPr>
        <w:pStyle w:val="ListParagraph"/>
        <w:numPr>
          <w:ilvl w:val="0"/>
          <w:numId w:val="1"/>
        </w:numPr>
        <w:spacing w:after="60"/>
      </w:pPr>
      <w:r>
        <w:t xml:space="preserve">L'information de chaque agent du résultat de sa propre évaluation, tracée par un accusé de consultation (§ 7.6) ;</w:t>
      </w:r>
    </w:p>
    <w:p>
      <w:pPr>
        <w:pStyle w:val="ListParagraph"/>
        <w:numPr>
          <w:ilvl w:val="0"/>
          <w:numId w:val="1"/>
        </w:numPr>
        <w:spacing w:after="60"/>
      </w:pPr>
      <w:r>
        <w:t xml:space="preserve">Une piste d'audit exhaustive : toute consultation, modification, signature ou transmission d'une fiche est journalisée (utilisateur, horodatage, action), consultable par l'Administrateur RH et le DAF à des fins de contrôle ;</w:t>
      </w:r>
    </w:p>
    <w:p>
      <w:pPr>
        <w:pStyle w:val="ListParagraph"/>
        <w:numPr>
          <w:ilvl w:val="0"/>
          <w:numId w:val="1"/>
        </w:numPr>
        <w:spacing w:after="60"/>
      </w:pPr>
      <w:r>
        <w:t xml:space="preserve">Le chiffrement au repos des données de notation et des commentaires, et le chiffrement en transit (HTTPS) de l'ensemble des échanges du module, en cohérence avec les standards déjà appliqués sur les autres modules sensibles de NiidPro (paie, dossiers médicaux) ;</w:t>
      </w:r>
    </w:p>
    <w:p>
      <w:pPr>
        <w:pStyle w:val="ListParagraph"/>
        <w:numPr>
          <w:ilvl w:val="0"/>
          <w:numId w:val="1"/>
        </w:numPr>
        <w:spacing w:after="60"/>
      </w:pPr>
      <w:r>
        <w:t xml:space="preserve">Une politique de conservation documentée (durée légale de conservation des documents administratifs RH), avec archivage automatique (statut « Archivée ») en fin de campagne sans possibilité de suppression, seule une purge conforme à la politique de conservation étant autorisée, réservée à l'Administrateur RH avec journalisation.</w:t>
      </w:r>
    </w:p>
    <w:p>
      <w:pPr>
        <w:pStyle w:val="Heading1"/>
        <w:spacing w:after="200" w:before="400"/>
      </w:pPr>
      <w:r>
        <w:t xml:space="preserve">10. Notifications et tableau de bord</w:t>
      </w:r>
    </w:p>
    <w:p>
      <w:pPr>
        <w:pStyle w:val="Heading2"/>
        <w:spacing w:after="150" w:before="300"/>
      </w:pPr>
      <w:r>
        <w:t xml:space="preserve">10.1. Notifications événementielles</w:t>
      </w:r>
    </w:p>
    <w:p>
      <w:pPr>
        <w:spacing w:after="120"/>
      </w:pPr>
      <w:r>
        <w:t xml:space="preserve">Le module doit générer une notification (in-app et courriel) à chaque changement de statut significatif du cycle de vie de la fiche (§ 6), à destination de l'acteur devenant responsable de l'étape suivante et, le cas échéant, de l'agent concerné. Les canaux et modèles de messages sont paramétrables par l'Administrateur RH.</w:t>
      </w:r>
    </w:p>
    <w:p>
      <w:pPr>
        <w:pStyle w:val="Heading2"/>
        <w:spacing w:after="150" w:before="300"/>
      </w:pPr>
      <w:r>
        <w:t xml:space="preserve">10.2. Tableaux de bord par rôle</w:t>
      </w:r>
    </w:p>
    <w:p>
      <w:pPr>
        <w:pStyle w:val="ListParagraph"/>
        <w:numPr>
          <w:ilvl w:val="0"/>
          <w:numId w:val="1"/>
        </w:numPr>
        <w:spacing w:after="60"/>
      </w:pPr>
      <w:r>
        <w:t xml:space="preserve">Tableau de bord Administrateur RH / DAF / DG : avancement global de la campagne par sous-procédure et par structure, alertes sur risques de dépassement de calendrier (§ 4.3), taux de complétude ;</w:t>
      </w:r>
    </w:p>
    <w:p>
      <w:pPr>
        <w:pStyle w:val="ListParagraph"/>
        <w:numPr>
          <w:ilvl w:val="0"/>
          <w:numId w:val="1"/>
        </w:numPr>
        <w:spacing w:after="60"/>
      </w:pPr>
      <w:r>
        <w:t xml:space="preserve">Tableau de bord Responsable hiérarchique : liste de ses collaborateurs avec statut individuel (à planifier / planifié / noté / signé / transmis) ;</w:t>
      </w:r>
    </w:p>
    <w:p>
      <w:pPr>
        <w:pStyle w:val="ListParagraph"/>
        <w:numPr>
          <w:ilvl w:val="0"/>
          <w:numId w:val="1"/>
        </w:numPr>
        <w:spacing w:after="60"/>
      </w:pPr>
      <w:r>
        <w:t xml:space="preserve">Tableau de bord Agent : statut de sa propre évaluation (convocation, résultat notifié) ;</w:t>
      </w:r>
    </w:p>
    <w:p>
      <w:pPr>
        <w:pStyle w:val="ListParagraph"/>
        <w:numPr>
          <w:ilvl w:val="0"/>
          <w:numId w:val="1"/>
        </w:numPr>
        <w:spacing w:after="60"/>
      </w:pPr>
      <w:r>
        <w:t xml:space="preserve">Vue Division RH : consolidation des besoins de formation exprimés, statistiques agrégées par critère et par structure (à des fins de préparation du tableau de synthèse, sans accès aux commentaires individuels sensibles selon paramétrage).</w:t>
      </w:r>
    </w:p>
    <w:p>
      <w:pPr>
        <w:pStyle w:val="Heading1"/>
        <w:spacing w:after="200" w:before="400"/>
      </w:pPr>
      <w:r>
        <w:t xml:space="preserve">11. Documents générés par le système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2500"/>
        <w:gridCol w:w="2200"/>
      </w:tblGrid>
      <w:tr>
        <w:trPr>
          <w:tblHeader/>
        </w:trPr>
        <w:tc>
          <w:tcPr>
            <w:tcW w:type="dxa" w:w="3300"/>
            <w:shd w:fill="1F3864" w:val="clear"/>
            <w:tcMar>
              <w:top w:type="dxa" w:w="80"/>
              <w:left w:type="dxa" w:w="100"/>
              <w:bottom w:type="dxa" w:w="80"/>
              <w:right w:type="dxa" w:w="100"/>
            </w:tcMar>
            <w:vAlign w:val="center"/>
          </w:tcPr>
          <w:p>
            <w:pPr>
              <w:jc w:val="left"/>
            </w:pPr>
            <w:r>
              <w:rPr>
                <w:b/>
                <w:bCs/>
                <w:color w:val="FFFFFF"/>
                <w:sz w:val="19"/>
                <w:szCs w:val="19"/>
              </w:rPr>
              <w:t xml:space="preserve">Document</w:t>
            </w:r>
          </w:p>
        </w:tc>
        <w:tc>
          <w:tcPr>
            <w:tcW w:type="dxa" w:w="1500"/>
            <w:shd w:fill="1F3864" w:val="clear"/>
            <w:tcMar>
              <w:top w:type="dxa" w:w="80"/>
              <w:left w:type="dxa" w:w="100"/>
              <w:bottom w:type="dxa" w:w="80"/>
              <w:right w:type="dxa" w:w="100"/>
            </w:tcMar>
            <w:vAlign w:val="center"/>
          </w:tcPr>
          <w:p>
            <w:pPr>
              <w:jc w:val="left"/>
            </w:pPr>
            <w:r>
              <w:rPr>
                <w:b/>
                <w:bCs/>
                <w:color w:val="FFFFFF"/>
                <w:sz w:val="19"/>
                <w:szCs w:val="19"/>
              </w:rPr>
              <w:t xml:space="preserve">Généré à l'étape</w:t>
            </w:r>
          </w:p>
        </w:tc>
        <w:tc>
          <w:tcPr>
            <w:tcW w:type="dxa" w:w="2500"/>
            <w:shd w:fill="1F3864" w:val="clear"/>
            <w:tcMar>
              <w:top w:type="dxa" w:w="80"/>
              <w:left w:type="dxa" w:w="100"/>
              <w:bottom w:type="dxa" w:w="80"/>
              <w:right w:type="dxa" w:w="100"/>
            </w:tcMar>
            <w:vAlign w:val="center"/>
          </w:tcPr>
          <w:p>
            <w:pPr>
              <w:jc w:val="left"/>
            </w:pPr>
            <w:r>
              <w:rPr>
                <w:b/>
                <w:bCs/>
                <w:color w:val="FFFFFF"/>
                <w:sz w:val="19"/>
                <w:szCs w:val="19"/>
              </w:rPr>
              <w:t xml:space="preserve">Émetteur</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Format</w:t>
            </w:r>
          </w:p>
        </w:tc>
      </w:tr>
      <w:tr>
        <w:tc>
          <w:tcPr>
            <w:tcW w:type="dxa" w:w="3300"/>
            <w:shd w:fill="FFFFFF" w:val="clear"/>
            <w:tcMar>
              <w:top w:type="dxa" w:w="80"/>
              <w:left w:type="dxa" w:w="100"/>
              <w:bottom w:type="dxa" w:w="80"/>
              <w:right w:type="dxa" w:w="100"/>
            </w:tcMar>
            <w:vAlign w:val="center"/>
          </w:tcPr>
          <w:p>
            <w:pPr>
              <w:jc w:val="left"/>
            </w:pPr>
            <w:r>
              <w:rPr>
                <w:b w:val="false"/>
                <w:bCs w:val="false"/>
                <w:sz w:val="19"/>
                <w:szCs w:val="19"/>
              </w:rPr>
              <w:t xml:space="preserve">Note de service de lancement</w:t>
            </w:r>
          </w:p>
        </w:tc>
        <w:tc>
          <w:tcPr>
            <w:tcW w:type="dxa" w:w="1500"/>
            <w:shd w:fill="FFFFFF" w:val="clear"/>
            <w:tcMar>
              <w:top w:type="dxa" w:w="80"/>
              <w:left w:type="dxa" w:w="100"/>
              <w:bottom w:type="dxa" w:w="80"/>
              <w:right w:type="dxa" w:w="100"/>
            </w:tcMar>
            <w:vAlign w:val="center"/>
          </w:tcPr>
          <w:p>
            <w:pPr>
              <w:jc w:val="left"/>
            </w:pPr>
            <w:r>
              <w:rPr>
                <w:b w:val="false"/>
                <w:bCs w:val="false"/>
                <w:sz w:val="19"/>
                <w:szCs w:val="19"/>
              </w:rPr>
              <w:t xml:space="preserve">SP1</w:t>
            </w:r>
          </w:p>
        </w:tc>
        <w:tc>
          <w:tcPr>
            <w:tcW w:type="dxa" w:w="2500"/>
            <w:shd w:fill="FFFFFF" w:val="clear"/>
            <w:tcMar>
              <w:top w:type="dxa" w:w="80"/>
              <w:left w:type="dxa" w:w="100"/>
              <w:bottom w:type="dxa" w:w="80"/>
              <w:right w:type="dxa" w:w="100"/>
            </w:tcMar>
            <w:vAlign w:val="center"/>
          </w:tcPr>
          <w:p>
            <w:pPr>
              <w:jc w:val="left"/>
            </w:pPr>
            <w:r>
              <w:rPr>
                <w:b w:val="false"/>
                <w:bCs w:val="false"/>
                <w:sz w:val="19"/>
                <w:szCs w:val="19"/>
              </w:rPr>
              <w:t xml:space="preserve">Directeur général</w:t>
            </w:r>
          </w:p>
        </w:tc>
        <w:tc>
          <w:tcPr>
            <w:tcW w:type="dxa" w:w="2200"/>
            <w:shd w:fill="FFFFFF" w:val="clear"/>
            <w:tcMar>
              <w:top w:type="dxa" w:w="80"/>
              <w:left w:type="dxa" w:w="100"/>
              <w:bottom w:type="dxa" w:w="80"/>
              <w:right w:type="dxa" w:w="100"/>
            </w:tcMar>
            <w:vAlign w:val="center"/>
          </w:tcPr>
          <w:p>
            <w:pPr>
              <w:jc w:val="left"/>
            </w:pPr>
            <w:r>
              <w:rPr>
                <w:b w:val="false"/>
                <w:bCs w:val="false"/>
                <w:sz w:val="19"/>
                <w:szCs w:val="19"/>
              </w:rPr>
              <w:t xml:space="preserve">PDF signé</w:t>
            </w:r>
          </w:p>
        </w:tc>
      </w:tr>
      <w:tr>
        <w:tc>
          <w:tcPr>
            <w:tcW w:type="dxa" w:w="3300"/>
            <w:shd w:fill="F2F2F2" w:val="clear"/>
            <w:tcMar>
              <w:top w:type="dxa" w:w="80"/>
              <w:left w:type="dxa" w:w="100"/>
              <w:bottom w:type="dxa" w:w="80"/>
              <w:right w:type="dxa" w:w="100"/>
            </w:tcMar>
            <w:vAlign w:val="center"/>
          </w:tcPr>
          <w:p>
            <w:pPr>
              <w:jc w:val="left"/>
            </w:pPr>
            <w:r>
              <w:rPr>
                <w:b w:val="false"/>
                <w:bCs w:val="false"/>
                <w:sz w:val="19"/>
                <w:szCs w:val="19"/>
              </w:rPr>
              <w:t xml:space="preserve">Fiche d'évaluation vierge / renseignée</w:t>
            </w:r>
          </w:p>
        </w:tc>
        <w:tc>
          <w:tcPr>
            <w:tcW w:type="dxa" w:w="1500"/>
            <w:shd w:fill="F2F2F2" w:val="clear"/>
            <w:tcMar>
              <w:top w:type="dxa" w:w="80"/>
              <w:left w:type="dxa" w:w="100"/>
              <w:bottom w:type="dxa" w:w="80"/>
              <w:right w:type="dxa" w:w="100"/>
            </w:tcMar>
            <w:vAlign w:val="center"/>
          </w:tcPr>
          <w:p>
            <w:pPr>
              <w:jc w:val="left"/>
            </w:pPr>
            <w:r>
              <w:rPr>
                <w:b w:val="false"/>
                <w:bCs w:val="false"/>
                <w:sz w:val="19"/>
                <w:szCs w:val="19"/>
              </w:rPr>
              <w:t xml:space="preserve">SP1 → SP3</w:t>
            </w:r>
          </w:p>
        </w:tc>
        <w:tc>
          <w:tcPr>
            <w:tcW w:type="dxa" w:w="2500"/>
            <w:shd w:fill="F2F2F2" w:val="clear"/>
            <w:tcMar>
              <w:top w:type="dxa" w:w="80"/>
              <w:left w:type="dxa" w:w="100"/>
              <w:bottom w:type="dxa" w:w="80"/>
              <w:right w:type="dxa" w:w="100"/>
            </w:tcMar>
            <w:vAlign w:val="center"/>
          </w:tcPr>
          <w:p>
            <w:pPr>
              <w:jc w:val="left"/>
            </w:pPr>
            <w:r>
              <w:rPr>
                <w:b w:val="false"/>
                <w:bCs w:val="false"/>
                <w:sz w:val="19"/>
                <w:szCs w:val="19"/>
              </w:rPr>
              <w:t xml:space="preserve">Système / Responsable hiérarchique</w:t>
            </w:r>
          </w:p>
        </w:tc>
        <w:tc>
          <w:tcPr>
            <w:tcW w:type="dxa" w:w="2200"/>
            <w:shd w:fill="F2F2F2" w:val="clear"/>
            <w:tcMar>
              <w:top w:type="dxa" w:w="80"/>
              <w:left w:type="dxa" w:w="100"/>
              <w:bottom w:type="dxa" w:w="80"/>
              <w:right w:type="dxa" w:w="100"/>
            </w:tcMar>
            <w:vAlign w:val="center"/>
          </w:tcPr>
          <w:p>
            <w:pPr>
              <w:jc w:val="left"/>
            </w:pPr>
            <w:r>
              <w:rPr>
                <w:b w:val="false"/>
                <w:bCs w:val="false"/>
                <w:sz w:val="19"/>
                <w:szCs w:val="19"/>
              </w:rPr>
              <w:t xml:space="preserve">Écran + export PDF</w:t>
            </w:r>
          </w:p>
        </w:tc>
      </w:tr>
      <w:tr>
        <w:tc>
          <w:tcPr>
            <w:tcW w:type="dxa" w:w="3300"/>
            <w:shd w:fill="FFFFFF" w:val="clear"/>
            <w:tcMar>
              <w:top w:type="dxa" w:w="80"/>
              <w:left w:type="dxa" w:w="100"/>
              <w:bottom w:type="dxa" w:w="80"/>
              <w:right w:type="dxa" w:w="100"/>
            </w:tcMar>
            <w:vAlign w:val="center"/>
          </w:tcPr>
          <w:p>
            <w:pPr>
              <w:jc w:val="left"/>
            </w:pPr>
            <w:r>
              <w:rPr>
                <w:b w:val="false"/>
                <w:bCs w:val="false"/>
                <w:sz w:val="19"/>
                <w:szCs w:val="19"/>
              </w:rPr>
              <w:t xml:space="preserve">Fiche d'évaluation signée (original numérique)</w:t>
            </w:r>
          </w:p>
        </w:tc>
        <w:tc>
          <w:tcPr>
            <w:tcW w:type="dxa" w:w="1500"/>
            <w:shd w:fill="FFFFFF" w:val="clear"/>
            <w:tcMar>
              <w:top w:type="dxa" w:w="80"/>
              <w:left w:type="dxa" w:w="100"/>
              <w:bottom w:type="dxa" w:w="80"/>
              <w:right w:type="dxa" w:w="100"/>
            </w:tcMar>
            <w:vAlign w:val="center"/>
          </w:tcPr>
          <w:p>
            <w:pPr>
              <w:jc w:val="left"/>
            </w:pPr>
            <w:r>
              <w:rPr>
                <w:b w:val="false"/>
                <w:bCs w:val="false"/>
                <w:sz w:val="19"/>
                <w:szCs w:val="19"/>
              </w:rPr>
              <w:t xml:space="preserve">SP3</w:t>
            </w:r>
          </w:p>
        </w:tc>
        <w:tc>
          <w:tcPr>
            <w:tcW w:type="dxa" w:w="2500"/>
            <w:shd w:fill="FFFFFF" w:val="clear"/>
            <w:tcMar>
              <w:top w:type="dxa" w:w="80"/>
              <w:left w:type="dxa" w:w="100"/>
              <w:bottom w:type="dxa" w:w="80"/>
              <w:right w:type="dxa" w:w="100"/>
            </w:tcMar>
            <w:vAlign w:val="center"/>
          </w:tcPr>
          <w:p>
            <w:pPr>
              <w:jc w:val="left"/>
            </w:pPr>
            <w:r>
              <w:rPr>
                <w:b w:val="false"/>
                <w:bCs w:val="false"/>
                <w:sz w:val="19"/>
                <w:szCs w:val="19"/>
              </w:rPr>
              <w:t xml:space="preserve">Responsable hiérarchique + Agent</w:t>
            </w:r>
          </w:p>
        </w:tc>
        <w:tc>
          <w:tcPr>
            <w:tcW w:type="dxa" w:w="2200"/>
            <w:shd w:fill="FFFFFF" w:val="clear"/>
            <w:tcMar>
              <w:top w:type="dxa" w:w="80"/>
              <w:left w:type="dxa" w:w="100"/>
              <w:bottom w:type="dxa" w:w="80"/>
              <w:right w:type="dxa" w:w="100"/>
            </w:tcMar>
            <w:vAlign w:val="center"/>
          </w:tcPr>
          <w:p>
            <w:pPr>
              <w:jc w:val="left"/>
            </w:pPr>
            <w:r>
              <w:rPr>
                <w:b w:val="false"/>
                <w:bCs w:val="false"/>
                <w:sz w:val="19"/>
                <w:szCs w:val="19"/>
              </w:rPr>
              <w:t xml:space="preserve">PDF horodaté non modifiable</w:t>
            </w:r>
          </w:p>
        </w:tc>
      </w:tr>
      <w:tr>
        <w:tc>
          <w:tcPr>
            <w:tcW w:type="dxa" w:w="3300"/>
            <w:shd w:fill="F2F2F2" w:val="clear"/>
            <w:tcMar>
              <w:top w:type="dxa" w:w="80"/>
              <w:left w:type="dxa" w:w="100"/>
              <w:bottom w:type="dxa" w:w="80"/>
              <w:right w:type="dxa" w:w="100"/>
            </w:tcMar>
            <w:vAlign w:val="center"/>
          </w:tcPr>
          <w:p>
            <w:pPr>
              <w:jc w:val="left"/>
            </w:pPr>
            <w:r>
              <w:rPr>
                <w:b w:val="false"/>
                <w:bCs w:val="false"/>
                <w:sz w:val="19"/>
                <w:szCs w:val="19"/>
              </w:rPr>
              <w:t xml:space="preserve">Tableau de synthèse des évaluations</w:t>
            </w:r>
          </w:p>
        </w:tc>
        <w:tc>
          <w:tcPr>
            <w:tcW w:type="dxa" w:w="1500"/>
            <w:shd w:fill="F2F2F2" w:val="clear"/>
            <w:tcMar>
              <w:top w:type="dxa" w:w="80"/>
              <w:left w:type="dxa" w:w="100"/>
              <w:bottom w:type="dxa" w:w="80"/>
              <w:right w:type="dxa" w:w="100"/>
            </w:tcMar>
            <w:vAlign w:val="center"/>
          </w:tcPr>
          <w:p>
            <w:pPr>
              <w:jc w:val="left"/>
            </w:pPr>
            <w:r>
              <w:rPr>
                <w:b w:val="false"/>
                <w:bCs w:val="false"/>
                <w:sz w:val="19"/>
                <w:szCs w:val="19"/>
              </w:rPr>
              <w:t xml:space="preserve">SP4</w:t>
            </w:r>
          </w:p>
        </w:tc>
        <w:tc>
          <w:tcPr>
            <w:tcW w:type="dxa" w:w="2500"/>
            <w:shd w:fill="F2F2F2" w:val="clear"/>
            <w:tcMar>
              <w:top w:type="dxa" w:w="80"/>
              <w:left w:type="dxa" w:w="100"/>
              <w:bottom w:type="dxa" w:w="80"/>
              <w:right w:type="dxa" w:w="100"/>
            </w:tcMar>
            <w:vAlign w:val="center"/>
          </w:tcPr>
          <w:p>
            <w:pPr>
              <w:jc w:val="left"/>
            </w:pPr>
            <w:r>
              <w:rPr>
                <w:b w:val="false"/>
                <w:bCs w:val="false"/>
                <w:sz w:val="19"/>
                <w:szCs w:val="19"/>
              </w:rPr>
              <w:t xml:space="preserve">DAF / Division RH</w:t>
            </w:r>
          </w:p>
        </w:tc>
        <w:tc>
          <w:tcPr>
            <w:tcW w:type="dxa" w:w="2200"/>
            <w:shd w:fill="F2F2F2" w:val="clear"/>
            <w:tcMar>
              <w:top w:type="dxa" w:w="80"/>
              <w:left w:type="dxa" w:w="100"/>
              <w:bottom w:type="dxa" w:w="80"/>
              <w:right w:type="dxa" w:w="100"/>
            </w:tcMar>
            <w:vAlign w:val="center"/>
          </w:tcPr>
          <w:p>
            <w:pPr>
              <w:jc w:val="left"/>
            </w:pPr>
            <w:r>
              <w:rPr>
                <w:b w:val="false"/>
                <w:bCs w:val="false"/>
                <w:sz w:val="19"/>
                <w:szCs w:val="19"/>
              </w:rPr>
              <w:t xml:space="preserve">Écran + export Excel / PDF</w:t>
            </w:r>
          </w:p>
        </w:tc>
      </w:tr>
      <w:tr>
        <w:tc>
          <w:tcPr>
            <w:tcW w:type="dxa" w:w="3300"/>
            <w:shd w:fill="FFFFFF" w:val="clear"/>
            <w:tcMar>
              <w:top w:type="dxa" w:w="80"/>
              <w:left w:type="dxa" w:w="100"/>
              <w:bottom w:type="dxa" w:w="80"/>
              <w:right w:type="dxa" w:w="100"/>
            </w:tcMar>
            <w:vAlign w:val="center"/>
          </w:tcPr>
          <w:p>
            <w:pPr>
              <w:jc w:val="left"/>
            </w:pPr>
            <w:r>
              <w:rPr>
                <w:b w:val="false"/>
                <w:bCs w:val="false"/>
                <w:sz w:val="19"/>
                <w:szCs w:val="19"/>
              </w:rPr>
              <w:t xml:space="preserve">Tableau de synthèse annoté</w:t>
            </w:r>
          </w:p>
        </w:tc>
        <w:tc>
          <w:tcPr>
            <w:tcW w:type="dxa" w:w="1500"/>
            <w:shd w:fill="FFFFFF" w:val="clear"/>
            <w:tcMar>
              <w:top w:type="dxa" w:w="80"/>
              <w:left w:type="dxa" w:w="100"/>
              <w:bottom w:type="dxa" w:w="80"/>
              <w:right w:type="dxa" w:w="100"/>
            </w:tcMar>
            <w:vAlign w:val="center"/>
          </w:tcPr>
          <w:p>
            <w:pPr>
              <w:jc w:val="left"/>
            </w:pPr>
            <w:r>
              <w:rPr>
                <w:b w:val="false"/>
                <w:bCs w:val="false"/>
                <w:sz w:val="19"/>
                <w:szCs w:val="19"/>
              </w:rPr>
              <w:t xml:space="preserve">SP5</w:t>
            </w:r>
          </w:p>
        </w:tc>
        <w:tc>
          <w:tcPr>
            <w:tcW w:type="dxa" w:w="2500"/>
            <w:shd w:fill="FFFFFF" w:val="clear"/>
            <w:tcMar>
              <w:top w:type="dxa" w:w="80"/>
              <w:left w:type="dxa" w:w="100"/>
              <w:bottom w:type="dxa" w:w="80"/>
              <w:right w:type="dxa" w:w="100"/>
            </w:tcMar>
            <w:vAlign w:val="center"/>
          </w:tcPr>
          <w:p>
            <w:pPr>
              <w:jc w:val="left"/>
            </w:pPr>
            <w:r>
              <w:rPr>
                <w:b w:val="false"/>
                <w:bCs w:val="false"/>
                <w:sz w:val="19"/>
                <w:szCs w:val="19"/>
              </w:rPr>
              <w:t xml:space="preserve">Directeur général</w:t>
            </w:r>
          </w:p>
        </w:tc>
        <w:tc>
          <w:tcPr>
            <w:tcW w:type="dxa" w:w="2200"/>
            <w:shd w:fill="FFFFFF" w:val="clear"/>
            <w:tcMar>
              <w:top w:type="dxa" w:w="80"/>
              <w:left w:type="dxa" w:w="100"/>
              <w:bottom w:type="dxa" w:w="80"/>
              <w:right w:type="dxa" w:w="100"/>
            </w:tcMar>
            <w:vAlign w:val="center"/>
          </w:tcPr>
          <w:p>
            <w:pPr>
              <w:jc w:val="left"/>
            </w:pPr>
            <w:r>
              <w:rPr>
                <w:b w:val="false"/>
                <w:bCs w:val="false"/>
                <w:sz w:val="19"/>
                <w:szCs w:val="19"/>
              </w:rPr>
              <w:t xml:space="preserve">PDF horodaté</w:t>
            </w:r>
          </w:p>
        </w:tc>
      </w:tr>
      <w:tr>
        <w:tc>
          <w:tcPr>
            <w:tcW w:type="dxa" w:w="3300"/>
            <w:shd w:fill="F2F2F2" w:val="clear"/>
            <w:tcMar>
              <w:top w:type="dxa" w:w="80"/>
              <w:left w:type="dxa" w:w="100"/>
              <w:bottom w:type="dxa" w:w="80"/>
              <w:right w:type="dxa" w:w="100"/>
            </w:tcMar>
            <w:vAlign w:val="center"/>
          </w:tcPr>
          <w:p>
            <w:pPr>
              <w:jc w:val="left"/>
            </w:pPr>
            <w:r>
              <w:rPr>
                <w:b w:val="false"/>
                <w:bCs w:val="false"/>
                <w:sz w:val="19"/>
                <w:szCs w:val="19"/>
              </w:rPr>
              <w:t xml:space="preserve">Courrier de notification individuel</w:t>
            </w:r>
          </w:p>
        </w:tc>
        <w:tc>
          <w:tcPr>
            <w:tcW w:type="dxa" w:w="1500"/>
            <w:shd w:fill="F2F2F2" w:val="clear"/>
            <w:tcMar>
              <w:top w:type="dxa" w:w="80"/>
              <w:left w:type="dxa" w:w="100"/>
              <w:bottom w:type="dxa" w:w="80"/>
              <w:right w:type="dxa" w:w="100"/>
            </w:tcMar>
            <w:vAlign w:val="center"/>
          </w:tcPr>
          <w:p>
            <w:pPr>
              <w:jc w:val="left"/>
            </w:pPr>
            <w:r>
              <w:rPr>
                <w:b w:val="false"/>
                <w:bCs w:val="false"/>
                <w:sz w:val="19"/>
                <w:szCs w:val="19"/>
              </w:rPr>
              <w:t xml:space="preserve">SP6</w:t>
            </w:r>
          </w:p>
        </w:tc>
        <w:tc>
          <w:tcPr>
            <w:tcW w:type="dxa" w:w="2500"/>
            <w:shd w:fill="F2F2F2" w:val="clear"/>
            <w:tcMar>
              <w:top w:type="dxa" w:w="80"/>
              <w:left w:type="dxa" w:w="100"/>
              <w:bottom w:type="dxa" w:w="80"/>
              <w:right w:type="dxa" w:w="100"/>
            </w:tcMar>
            <w:vAlign w:val="center"/>
          </w:tcPr>
          <w:p>
            <w:pPr>
              <w:jc w:val="left"/>
            </w:pPr>
            <w:r>
              <w:rPr>
                <w:b w:val="false"/>
                <w:bCs w:val="false"/>
                <w:sz w:val="19"/>
                <w:szCs w:val="19"/>
              </w:rPr>
              <w:t xml:space="preserve">DAF</w:t>
            </w:r>
          </w:p>
        </w:tc>
        <w:tc>
          <w:tcPr>
            <w:tcW w:type="dxa" w:w="2200"/>
            <w:shd w:fill="F2F2F2" w:val="clear"/>
            <w:tcMar>
              <w:top w:type="dxa" w:w="80"/>
              <w:left w:type="dxa" w:w="100"/>
              <w:bottom w:type="dxa" w:w="80"/>
              <w:right w:type="dxa" w:w="100"/>
            </w:tcMar>
            <w:vAlign w:val="center"/>
          </w:tcPr>
          <w:p>
            <w:pPr>
              <w:jc w:val="left"/>
            </w:pPr>
            <w:r>
              <w:rPr>
                <w:b w:val="false"/>
                <w:bCs w:val="false"/>
                <w:sz w:val="19"/>
                <w:szCs w:val="19"/>
              </w:rPr>
              <w:t xml:space="preserve">PDF signé</w:t>
            </w:r>
          </w:p>
        </w:tc>
      </w:tr>
    </w:tbl>
    <w:p>
      <w:pPr>
        <w:pStyle w:val="Heading1"/>
        <w:spacing w:after="200" w:before="400"/>
      </w:pPr>
      <w:r>
        <w:t xml:space="preserve">12. Matrice RACI</w:t>
      </w:r>
    </w:p>
    <w:p>
      <w:pPr>
        <w:spacing w:after="120"/>
      </w:pPr>
      <w:r>
        <w:t xml:space="preserve">R = Réalise, A = Approuve (responsable final), C = Consulté, I = Informé.</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800"/>
        <w:gridCol w:w="1900"/>
        <w:gridCol w:w="1000"/>
        <w:gridCol w:w="1300"/>
        <w:gridCol w:w="2000"/>
      </w:tblGrid>
      <w:tr>
        <w:trPr>
          <w:tblHeader/>
        </w:trPr>
        <w:tc>
          <w:tcPr>
            <w:tcW w:type="dxa" w:w="2700"/>
            <w:shd w:fill="1F3864" w:val="clear"/>
            <w:tcMar>
              <w:top w:type="dxa" w:w="80"/>
              <w:left w:type="dxa" w:w="100"/>
              <w:bottom w:type="dxa" w:w="80"/>
              <w:right w:type="dxa" w:w="100"/>
            </w:tcMar>
            <w:vAlign w:val="center"/>
          </w:tcPr>
          <w:p>
            <w:pPr>
              <w:jc w:val="left"/>
            </w:pPr>
            <w:r>
              <w:rPr>
                <w:b/>
                <w:bCs/>
                <w:color w:val="FFFFFF"/>
                <w:sz w:val="19"/>
                <w:szCs w:val="19"/>
              </w:rPr>
              <w:t xml:space="preserve">Sous-procédure</w:t>
            </w:r>
          </w:p>
        </w:tc>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DG</w:t>
            </w:r>
          </w:p>
        </w:tc>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SG</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Resp. hiérarchique</w:t>
            </w:r>
          </w:p>
        </w:tc>
        <w:tc>
          <w:tcPr>
            <w:tcW w:type="dxa" w:w="1000"/>
            <w:shd w:fill="1F3864" w:val="clear"/>
            <w:tcMar>
              <w:top w:type="dxa" w:w="80"/>
              <w:left w:type="dxa" w:w="100"/>
              <w:bottom w:type="dxa" w:w="80"/>
              <w:right w:type="dxa" w:w="100"/>
            </w:tcMar>
            <w:vAlign w:val="center"/>
          </w:tcPr>
          <w:p>
            <w:pPr>
              <w:jc w:val="left"/>
            </w:pPr>
            <w:r>
              <w:rPr>
                <w:b/>
                <w:bCs/>
                <w:color w:val="FFFFFF"/>
                <w:sz w:val="19"/>
                <w:szCs w:val="19"/>
              </w:rPr>
              <w:t xml:space="preserve">DAF</w:t>
            </w:r>
          </w:p>
        </w:tc>
        <w:tc>
          <w:tcPr>
            <w:tcW w:type="dxa" w:w="1300"/>
            <w:shd w:fill="1F3864" w:val="clear"/>
            <w:tcMar>
              <w:top w:type="dxa" w:w="80"/>
              <w:left w:type="dxa" w:w="100"/>
              <w:bottom w:type="dxa" w:w="80"/>
              <w:right w:type="dxa" w:w="100"/>
            </w:tcMar>
            <w:vAlign w:val="center"/>
          </w:tcPr>
          <w:p>
            <w:pPr>
              <w:jc w:val="left"/>
            </w:pPr>
            <w:r>
              <w:rPr>
                <w:b/>
                <w:bCs/>
                <w:color w:val="FFFFFF"/>
                <w:sz w:val="19"/>
                <w:szCs w:val="19"/>
              </w:rPr>
              <w:t xml:space="preserve">Division RH</w:t>
            </w:r>
          </w:p>
        </w:tc>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Agent</w:t>
            </w:r>
          </w:p>
        </w:tc>
      </w:tr>
      <w:tr>
        <w:tc>
          <w:tcPr>
            <w:tcW w:type="dxa" w:w="2700"/>
            <w:shd w:fill="FFFFFF" w:val="clear"/>
            <w:tcMar>
              <w:top w:type="dxa" w:w="80"/>
              <w:left w:type="dxa" w:w="100"/>
              <w:bottom w:type="dxa" w:w="80"/>
              <w:right w:type="dxa" w:w="100"/>
            </w:tcMar>
            <w:vAlign w:val="center"/>
          </w:tcPr>
          <w:p>
            <w:pPr>
              <w:jc w:val="left"/>
            </w:pPr>
            <w:r>
              <w:rPr>
                <w:b w:val="false"/>
                <w:bCs w:val="false"/>
                <w:sz w:val="19"/>
                <w:szCs w:val="19"/>
              </w:rPr>
              <w:t xml:space="preserve">SP1 — Lancer la campagne</w:t>
            </w:r>
          </w:p>
        </w:tc>
        <w:tc>
          <w:tcPr>
            <w:tcW w:type="dxa" w:w="800"/>
            <w:shd w:fill="FFFFFF" w:val="clear"/>
            <w:tcMar>
              <w:top w:type="dxa" w:w="80"/>
              <w:left w:type="dxa" w:w="100"/>
              <w:bottom w:type="dxa" w:w="80"/>
              <w:right w:type="dxa" w:w="100"/>
            </w:tcMar>
            <w:vAlign w:val="center"/>
          </w:tcPr>
          <w:p>
            <w:pPr>
              <w:jc w:val="left"/>
            </w:pPr>
            <w:r>
              <w:rPr>
                <w:b w:val="false"/>
                <w:bCs w:val="false"/>
                <w:sz w:val="19"/>
                <w:szCs w:val="19"/>
              </w:rPr>
              <w:t xml:space="preserve">A/R</w:t>
            </w:r>
          </w:p>
        </w:tc>
        <w:tc>
          <w:tcPr>
            <w:tcW w:type="dxa" w:w="800"/>
            <w:shd w:fill="FFFFFF" w:val="clear"/>
            <w:tcMar>
              <w:top w:type="dxa" w:w="80"/>
              <w:left w:type="dxa" w:w="100"/>
              <w:bottom w:type="dxa" w:w="80"/>
              <w:right w:type="dxa" w:w="100"/>
            </w:tcMar>
            <w:vAlign w:val="center"/>
          </w:tcPr>
          <w:p>
            <w:pPr>
              <w:jc w:val="left"/>
            </w:pPr>
            <w:r>
              <w:rPr>
                <w:b w:val="false"/>
                <w:bCs w:val="false"/>
                <w:sz w:val="19"/>
                <w:szCs w:val="19"/>
              </w:rPr>
              <w:t xml:space="preserve">C</w:t>
            </w:r>
          </w:p>
        </w:tc>
        <w:tc>
          <w:tcPr>
            <w:tcW w:type="dxa" w:w="1900"/>
            <w:shd w:fill="FFFFFF"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1000"/>
            <w:shd w:fill="FFFFFF"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1300"/>
            <w:shd w:fill="FFFFFF"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2000"/>
            <w:shd w:fill="FFFFFF" w:val="clear"/>
            <w:tcMar>
              <w:top w:type="dxa" w:w="80"/>
              <w:left w:type="dxa" w:w="100"/>
              <w:bottom w:type="dxa" w:w="80"/>
              <w:right w:type="dxa" w:w="100"/>
            </w:tcMar>
            <w:vAlign w:val="center"/>
          </w:tcPr>
          <w:p>
            <w:pPr>
              <w:jc w:val="left"/>
            </w:pPr>
            <w:r>
              <w:rPr>
                <w:b w:val="false"/>
                <w:bCs w:val="false"/>
                <w:sz w:val="19"/>
                <w:szCs w:val="19"/>
              </w:rPr>
              <w:t xml:space="preserve">I</w:t>
            </w:r>
          </w:p>
        </w:tc>
      </w:tr>
      <w:tr>
        <w:tc>
          <w:tcPr>
            <w:tcW w:type="dxa" w:w="2700"/>
            <w:shd w:fill="F2F2F2" w:val="clear"/>
            <w:tcMar>
              <w:top w:type="dxa" w:w="80"/>
              <w:left w:type="dxa" w:w="100"/>
              <w:bottom w:type="dxa" w:w="80"/>
              <w:right w:type="dxa" w:w="100"/>
            </w:tcMar>
            <w:vAlign w:val="center"/>
          </w:tcPr>
          <w:p>
            <w:pPr>
              <w:jc w:val="left"/>
            </w:pPr>
            <w:r>
              <w:rPr>
                <w:b w:val="false"/>
                <w:bCs w:val="false"/>
                <w:sz w:val="19"/>
                <w:szCs w:val="19"/>
              </w:rPr>
              <w:t xml:space="preserve">SP2 — Planifier les entretiens</w:t>
            </w:r>
          </w:p>
        </w:tc>
        <w:tc>
          <w:tcPr>
            <w:tcW w:type="dxa" w:w="800"/>
            <w:shd w:fill="F2F2F2"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800"/>
            <w:shd w:fill="F2F2F2"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1900"/>
            <w:shd w:fill="F2F2F2" w:val="clear"/>
            <w:tcMar>
              <w:top w:type="dxa" w:w="80"/>
              <w:left w:type="dxa" w:w="100"/>
              <w:bottom w:type="dxa" w:w="80"/>
              <w:right w:type="dxa" w:w="100"/>
            </w:tcMar>
            <w:vAlign w:val="center"/>
          </w:tcPr>
          <w:p>
            <w:pPr>
              <w:jc w:val="left"/>
            </w:pPr>
            <w:r>
              <w:rPr>
                <w:b w:val="false"/>
                <w:bCs w:val="false"/>
                <w:sz w:val="19"/>
                <w:szCs w:val="19"/>
              </w:rPr>
              <w:t xml:space="preserve">A/R</w:t>
            </w:r>
          </w:p>
        </w:tc>
        <w:tc>
          <w:tcPr>
            <w:tcW w:type="dxa" w:w="1000"/>
            <w:shd w:fill="F2F2F2"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1300"/>
            <w:shd w:fill="F2F2F2"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2000"/>
            <w:shd w:fill="F2F2F2" w:val="clear"/>
            <w:tcMar>
              <w:top w:type="dxa" w:w="80"/>
              <w:left w:type="dxa" w:w="100"/>
              <w:bottom w:type="dxa" w:w="80"/>
              <w:right w:type="dxa" w:w="100"/>
            </w:tcMar>
            <w:vAlign w:val="center"/>
          </w:tcPr>
          <w:p>
            <w:pPr>
              <w:jc w:val="left"/>
            </w:pPr>
            <w:r>
              <w:rPr>
                <w:b w:val="false"/>
                <w:bCs w:val="false"/>
                <w:sz w:val="19"/>
                <w:szCs w:val="19"/>
              </w:rPr>
              <w:t xml:space="preserve">I</w:t>
            </w:r>
          </w:p>
        </w:tc>
      </w:tr>
      <w:tr>
        <w:tc>
          <w:tcPr>
            <w:tcW w:type="dxa" w:w="2700"/>
            <w:shd w:fill="FFFFFF" w:val="clear"/>
            <w:tcMar>
              <w:top w:type="dxa" w:w="80"/>
              <w:left w:type="dxa" w:w="100"/>
              <w:bottom w:type="dxa" w:w="80"/>
              <w:right w:type="dxa" w:w="100"/>
            </w:tcMar>
            <w:vAlign w:val="center"/>
          </w:tcPr>
          <w:p>
            <w:pPr>
              <w:jc w:val="left"/>
            </w:pPr>
            <w:r>
              <w:rPr>
                <w:b w:val="false"/>
                <w:bCs w:val="false"/>
                <w:sz w:val="19"/>
                <w:szCs w:val="19"/>
              </w:rPr>
              <w:t xml:space="preserve">SP3 — Évaluer et transmettre</w:t>
            </w:r>
          </w:p>
        </w:tc>
        <w:tc>
          <w:tcPr>
            <w:tcW w:type="dxa" w:w="800"/>
            <w:shd w:fill="FFFFFF"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800"/>
            <w:shd w:fill="FFFFFF"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1900"/>
            <w:shd w:fill="FFFFFF" w:val="clear"/>
            <w:tcMar>
              <w:top w:type="dxa" w:w="80"/>
              <w:left w:type="dxa" w:w="100"/>
              <w:bottom w:type="dxa" w:w="80"/>
              <w:right w:type="dxa" w:w="100"/>
            </w:tcMar>
            <w:vAlign w:val="center"/>
          </w:tcPr>
          <w:p>
            <w:pPr>
              <w:jc w:val="left"/>
            </w:pPr>
            <w:r>
              <w:rPr>
                <w:b w:val="false"/>
                <w:bCs w:val="false"/>
                <w:sz w:val="19"/>
                <w:szCs w:val="19"/>
              </w:rPr>
              <w:t xml:space="preserve">A/R</w:t>
            </w:r>
          </w:p>
        </w:tc>
        <w:tc>
          <w:tcPr>
            <w:tcW w:type="dxa" w:w="1000"/>
            <w:shd w:fill="FFFFFF"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1300"/>
            <w:shd w:fill="FFFFFF"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2000"/>
            <w:shd w:fill="FFFFFF" w:val="clear"/>
            <w:tcMar>
              <w:top w:type="dxa" w:w="80"/>
              <w:left w:type="dxa" w:w="100"/>
              <w:bottom w:type="dxa" w:w="80"/>
              <w:right w:type="dxa" w:w="100"/>
            </w:tcMar>
            <w:vAlign w:val="center"/>
          </w:tcPr>
          <w:p>
            <w:pPr>
              <w:jc w:val="left"/>
            </w:pPr>
            <w:r>
              <w:rPr>
                <w:b w:val="false"/>
                <w:bCs w:val="false"/>
                <w:sz w:val="19"/>
                <w:szCs w:val="19"/>
              </w:rPr>
              <w:t xml:space="preserve">C/R (signature)</w:t>
            </w:r>
          </w:p>
        </w:tc>
      </w:tr>
      <w:tr>
        <w:tc>
          <w:tcPr>
            <w:tcW w:type="dxa" w:w="2700"/>
            <w:shd w:fill="F2F2F2" w:val="clear"/>
            <w:tcMar>
              <w:top w:type="dxa" w:w="80"/>
              <w:left w:type="dxa" w:w="100"/>
              <w:bottom w:type="dxa" w:w="80"/>
              <w:right w:type="dxa" w:w="100"/>
            </w:tcMar>
            <w:vAlign w:val="center"/>
          </w:tcPr>
          <w:p>
            <w:pPr>
              <w:jc w:val="left"/>
            </w:pPr>
            <w:r>
              <w:rPr>
                <w:b w:val="false"/>
                <w:bCs w:val="false"/>
                <w:sz w:val="19"/>
                <w:szCs w:val="19"/>
              </w:rPr>
              <w:t xml:space="preserve">SP4 — Élaborer le tableau de synthèse</w:t>
            </w:r>
          </w:p>
        </w:tc>
        <w:tc>
          <w:tcPr>
            <w:tcW w:type="dxa" w:w="800"/>
            <w:shd w:fill="F2F2F2"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800"/>
            <w:shd w:fill="F2F2F2"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1900"/>
            <w:shd w:fill="F2F2F2"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1000"/>
            <w:shd w:fill="F2F2F2" w:val="clear"/>
            <w:tcMar>
              <w:top w:type="dxa" w:w="80"/>
              <w:left w:type="dxa" w:w="100"/>
              <w:bottom w:type="dxa" w:w="80"/>
              <w:right w:type="dxa" w:w="100"/>
            </w:tcMar>
            <w:vAlign w:val="center"/>
          </w:tcPr>
          <w:p>
            <w:pPr>
              <w:jc w:val="left"/>
            </w:pPr>
            <w:r>
              <w:rPr>
                <w:b w:val="false"/>
                <w:bCs w:val="false"/>
                <w:sz w:val="19"/>
                <w:szCs w:val="19"/>
              </w:rPr>
              <w:t xml:space="preserve">A/R</w:t>
            </w:r>
          </w:p>
        </w:tc>
        <w:tc>
          <w:tcPr>
            <w:tcW w:type="dxa" w:w="1300"/>
            <w:shd w:fill="F2F2F2" w:val="clear"/>
            <w:tcMar>
              <w:top w:type="dxa" w:w="80"/>
              <w:left w:type="dxa" w:w="100"/>
              <w:bottom w:type="dxa" w:w="80"/>
              <w:right w:type="dxa" w:w="100"/>
            </w:tcMar>
            <w:vAlign w:val="center"/>
          </w:tcPr>
          <w:p>
            <w:pPr>
              <w:jc w:val="left"/>
            </w:pPr>
            <w:r>
              <w:rPr>
                <w:b w:val="false"/>
                <w:bCs w:val="false"/>
                <w:sz w:val="19"/>
                <w:szCs w:val="19"/>
              </w:rPr>
              <w:t xml:space="preserve">C</w:t>
            </w:r>
          </w:p>
        </w:tc>
        <w:tc>
          <w:tcPr>
            <w:tcW w:type="dxa" w:w="2000"/>
            <w:shd w:fill="F2F2F2" w:val="clear"/>
            <w:tcMar>
              <w:top w:type="dxa" w:w="80"/>
              <w:left w:type="dxa" w:w="100"/>
              <w:bottom w:type="dxa" w:w="80"/>
              <w:right w:type="dxa" w:w="100"/>
            </w:tcMar>
            <w:vAlign w:val="center"/>
          </w:tcPr>
          <w:p>
            <w:pPr>
              <w:jc w:val="left"/>
            </w:pPr>
            <w:r>
              <w:rPr>
                <w:b w:val="false"/>
                <w:bCs w:val="false"/>
                <w:sz w:val="19"/>
                <w:szCs w:val="19"/>
              </w:rPr>
              <w:t xml:space="preserve">I</w:t>
            </w:r>
          </w:p>
        </w:tc>
      </w:tr>
      <w:tr>
        <w:tc>
          <w:tcPr>
            <w:tcW w:type="dxa" w:w="2700"/>
            <w:shd w:fill="FFFFFF" w:val="clear"/>
            <w:tcMar>
              <w:top w:type="dxa" w:w="80"/>
              <w:left w:type="dxa" w:w="100"/>
              <w:bottom w:type="dxa" w:w="80"/>
              <w:right w:type="dxa" w:w="100"/>
            </w:tcMar>
            <w:vAlign w:val="center"/>
          </w:tcPr>
          <w:p>
            <w:pPr>
              <w:jc w:val="left"/>
            </w:pPr>
            <w:r>
              <w:rPr>
                <w:b w:val="false"/>
                <w:bCs w:val="false"/>
                <w:sz w:val="19"/>
                <w:szCs w:val="19"/>
              </w:rPr>
              <w:t xml:space="preserve">SP5 — Étudier, décider, transmettre</w:t>
            </w:r>
          </w:p>
        </w:tc>
        <w:tc>
          <w:tcPr>
            <w:tcW w:type="dxa" w:w="800"/>
            <w:shd w:fill="FFFFFF" w:val="clear"/>
            <w:tcMar>
              <w:top w:type="dxa" w:w="80"/>
              <w:left w:type="dxa" w:w="100"/>
              <w:bottom w:type="dxa" w:w="80"/>
              <w:right w:type="dxa" w:w="100"/>
            </w:tcMar>
            <w:vAlign w:val="center"/>
          </w:tcPr>
          <w:p>
            <w:pPr>
              <w:jc w:val="left"/>
            </w:pPr>
            <w:r>
              <w:rPr>
                <w:b w:val="false"/>
                <w:bCs w:val="false"/>
                <w:sz w:val="19"/>
                <w:szCs w:val="19"/>
              </w:rPr>
              <w:t xml:space="preserve">A/R</w:t>
            </w:r>
          </w:p>
        </w:tc>
        <w:tc>
          <w:tcPr>
            <w:tcW w:type="dxa" w:w="800"/>
            <w:shd w:fill="FFFFFF" w:val="clear"/>
            <w:tcMar>
              <w:top w:type="dxa" w:w="80"/>
              <w:left w:type="dxa" w:w="100"/>
              <w:bottom w:type="dxa" w:w="80"/>
              <w:right w:type="dxa" w:w="100"/>
            </w:tcMar>
            <w:vAlign w:val="center"/>
          </w:tcPr>
          <w:p>
            <w:pPr>
              <w:jc w:val="left"/>
            </w:pPr>
            <w:r>
              <w:rPr>
                <w:b w:val="false"/>
                <w:bCs w:val="false"/>
                <w:sz w:val="19"/>
                <w:szCs w:val="19"/>
              </w:rPr>
              <w:t xml:space="preserve">C</w:t>
            </w:r>
          </w:p>
        </w:tc>
        <w:tc>
          <w:tcPr>
            <w:tcW w:type="dxa" w:w="1900"/>
            <w:shd w:fill="FFFFFF"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1000"/>
            <w:shd w:fill="FFFFFF"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1300"/>
            <w:shd w:fill="FFFFFF"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2000"/>
            <w:shd w:fill="FFFFFF" w:val="clear"/>
            <w:tcMar>
              <w:top w:type="dxa" w:w="80"/>
              <w:left w:type="dxa" w:w="100"/>
              <w:bottom w:type="dxa" w:w="80"/>
              <w:right w:type="dxa" w:w="100"/>
            </w:tcMar>
            <w:vAlign w:val="center"/>
          </w:tcPr>
          <w:p>
            <w:pPr>
              <w:jc w:val="left"/>
            </w:pPr>
            <w:r>
              <w:rPr>
                <w:b w:val="false"/>
                <w:bCs w:val="false"/>
                <w:sz w:val="19"/>
                <w:szCs w:val="19"/>
              </w:rPr>
              <w:t xml:space="preserve">I</w:t>
            </w:r>
          </w:p>
        </w:tc>
      </w:tr>
      <w:tr>
        <w:tc>
          <w:tcPr>
            <w:tcW w:type="dxa" w:w="2700"/>
            <w:shd w:fill="F2F2F2" w:val="clear"/>
            <w:tcMar>
              <w:top w:type="dxa" w:w="80"/>
              <w:left w:type="dxa" w:w="100"/>
              <w:bottom w:type="dxa" w:w="80"/>
              <w:right w:type="dxa" w:w="100"/>
            </w:tcMar>
            <w:vAlign w:val="center"/>
          </w:tcPr>
          <w:p>
            <w:pPr>
              <w:jc w:val="left"/>
            </w:pPr>
            <w:r>
              <w:rPr>
                <w:b w:val="false"/>
                <w:bCs w:val="false"/>
                <w:sz w:val="19"/>
                <w:szCs w:val="19"/>
              </w:rPr>
              <w:t xml:space="preserve">SP6 — Informer les agents</w:t>
            </w:r>
          </w:p>
        </w:tc>
        <w:tc>
          <w:tcPr>
            <w:tcW w:type="dxa" w:w="800"/>
            <w:shd w:fill="F2F2F2"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800"/>
            <w:shd w:fill="F2F2F2"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1900"/>
            <w:shd w:fill="F2F2F2"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1000"/>
            <w:shd w:fill="F2F2F2" w:val="clear"/>
            <w:tcMar>
              <w:top w:type="dxa" w:w="80"/>
              <w:left w:type="dxa" w:w="100"/>
              <w:bottom w:type="dxa" w:w="80"/>
              <w:right w:type="dxa" w:w="100"/>
            </w:tcMar>
            <w:vAlign w:val="center"/>
          </w:tcPr>
          <w:p>
            <w:pPr>
              <w:jc w:val="left"/>
            </w:pPr>
            <w:r>
              <w:rPr>
                <w:b w:val="false"/>
                <w:bCs w:val="false"/>
                <w:sz w:val="19"/>
                <w:szCs w:val="19"/>
              </w:rPr>
              <w:t xml:space="preserve">A/R</w:t>
            </w:r>
          </w:p>
        </w:tc>
        <w:tc>
          <w:tcPr>
            <w:tcW w:type="dxa" w:w="1300"/>
            <w:shd w:fill="F2F2F2" w:val="clear"/>
            <w:tcMar>
              <w:top w:type="dxa" w:w="80"/>
              <w:left w:type="dxa" w:w="100"/>
              <w:bottom w:type="dxa" w:w="80"/>
              <w:right w:type="dxa" w:w="100"/>
            </w:tcMar>
            <w:vAlign w:val="center"/>
          </w:tcPr>
          <w:p>
            <w:pPr>
              <w:jc w:val="left"/>
            </w:pPr>
            <w:r>
              <w:rPr>
                <w:b w:val="false"/>
                <w:bCs w:val="false"/>
                <w:sz w:val="19"/>
                <w:szCs w:val="19"/>
              </w:rPr>
              <w:t xml:space="preserve">I</w:t>
            </w:r>
          </w:p>
        </w:tc>
        <w:tc>
          <w:tcPr>
            <w:tcW w:type="dxa" w:w="2000"/>
            <w:shd w:fill="F2F2F2" w:val="clear"/>
            <w:tcMar>
              <w:top w:type="dxa" w:w="80"/>
              <w:left w:type="dxa" w:w="100"/>
              <w:bottom w:type="dxa" w:w="80"/>
              <w:right w:type="dxa" w:w="100"/>
            </w:tcMar>
            <w:vAlign w:val="center"/>
          </w:tcPr>
          <w:p>
            <w:pPr>
              <w:jc w:val="left"/>
            </w:pPr>
            <w:r>
              <w:rPr>
                <w:b w:val="false"/>
                <w:bCs w:val="false"/>
                <w:sz w:val="19"/>
                <w:szCs w:val="19"/>
              </w:rPr>
              <w:t xml:space="preserve">I (destinataire)</w:t>
            </w:r>
          </w:p>
        </w:tc>
      </w:tr>
    </w:tbl>
    <w:p>
      <w:pPr>
        <w:pStyle w:val="Heading1"/>
        <w:spacing w:after="200" w:before="400"/>
      </w:pPr>
      <w:r>
        <w:t xml:space="preserve">13. Exigences non fonctionnelles</w:t>
      </w:r>
    </w:p>
    <w:p>
      <w:pPr>
        <w:pStyle w:val="ListParagraph"/>
        <w:numPr>
          <w:ilvl w:val="0"/>
          <w:numId w:val="1"/>
        </w:numPr>
        <w:spacing w:after="60"/>
      </w:pPr>
      <w:r>
        <w:t xml:space="preserve">Sécurité : authentification via le module d'identité déjà en place dans NiidPro, gestion fine des droits par rôle et par relation hiérarchique (§ 5 et § 9) ;</w:t>
      </w:r>
    </w:p>
    <w:p>
      <w:pPr>
        <w:pStyle w:val="ListParagraph"/>
        <w:numPr>
          <w:ilvl w:val="0"/>
          <w:numId w:val="1"/>
        </w:numPr>
        <w:spacing w:after="60"/>
      </w:pPr>
      <w:r>
        <w:t xml:space="preserve">Disponibilité : le module doit rester utilisable en période de forte campagne (pic de connexions en octobre-décembre) sans dégradation de performance ;</w:t>
      </w:r>
    </w:p>
    <w:p>
      <w:pPr>
        <w:pStyle w:val="ListParagraph"/>
        <w:numPr>
          <w:ilvl w:val="0"/>
          <w:numId w:val="1"/>
        </w:numPr>
        <w:spacing w:after="60"/>
      </w:pPr>
      <w:r>
        <w:t xml:space="preserve">Auditabilité : conservation exhaustive et non altérable des journaux d'action (§ 9) ;</w:t>
      </w:r>
    </w:p>
    <w:p>
      <w:pPr>
        <w:pStyle w:val="ListParagraph"/>
        <w:numPr>
          <w:ilvl w:val="0"/>
          <w:numId w:val="1"/>
        </w:numPr>
        <w:spacing w:after="60"/>
      </w:pPr>
      <w:r>
        <w:t xml:space="preserve">Multi-structure / multi-tenant : le référentiel de critères, le calendrier et les modèles de documents doivent être paramétrables par organisation cliente de NiidPro, l'ANASER n'étant qu'un des paramétrages possibles ;</w:t>
      </w:r>
    </w:p>
    <w:p>
      <w:pPr>
        <w:pStyle w:val="ListParagraph"/>
        <w:numPr>
          <w:ilvl w:val="0"/>
          <w:numId w:val="1"/>
        </w:numPr>
        <w:spacing w:after="60"/>
      </w:pPr>
      <w:r>
        <w:t xml:space="preserve">Accessibilité et ergonomie : formulaires de notation utilisables en séance d'entretien (saisie rapide, sauvegarde automatique du brouillon) ;</w:t>
      </w:r>
    </w:p>
    <w:p>
      <w:pPr>
        <w:pStyle w:val="ListParagraph"/>
        <w:numPr>
          <w:ilvl w:val="0"/>
          <w:numId w:val="1"/>
        </w:numPr>
        <w:spacing w:after="60"/>
      </w:pPr>
      <w:r>
        <w:t xml:space="preserve">Compatibilité mobile : consultation des convocations, accord de signature et consultation du résultat notifié accessibles depuis l'application mobile (Flutter) de NiidPro pour les agents ;</w:t>
      </w:r>
    </w:p>
    <w:p>
      <w:pPr>
        <w:pStyle w:val="ListParagraph"/>
        <w:numPr>
          <w:ilvl w:val="0"/>
          <w:numId w:val="1"/>
        </w:numPr>
        <w:spacing w:after="60"/>
      </w:pPr>
      <w:r>
        <w:t xml:space="preserve">Internationalisation : interface en français dans un premier temps, architecture prête pour une traduction future ;</w:t>
      </w:r>
    </w:p>
    <w:p>
      <w:pPr>
        <w:pStyle w:val="ListParagraph"/>
        <w:numPr>
          <w:ilvl w:val="0"/>
          <w:numId w:val="1"/>
        </w:numPr>
        <w:spacing w:after="60"/>
      </w:pPr>
      <w:r>
        <w:t xml:space="preserve">Réversibilité des données : export complet d'une campagne (fiches, synthèses, décisions) en formats standards (PDF, Excel, JSON) à tout moment.</w:t>
      </w:r>
    </w:p>
    <w:p>
      <w:pPr>
        <w:pStyle w:val="Heading1"/>
        <w:spacing w:after="200" w:before="400"/>
      </w:pPr>
      <w:r>
        <w:t xml:space="preserve">14. Liste des écrans du module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3200"/>
      </w:tblGrid>
      <w:tr>
        <w:trPr>
          <w:tblHeader/>
        </w:trPr>
        <w:tc>
          <w:tcPr>
            <w:tcW w:type="dxa" w:w="500"/>
            <w:shd w:fill="1F3864"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4900"/>
            <w:shd w:fill="1F3864" w:val="clear"/>
            <w:tcMar>
              <w:top w:type="dxa" w:w="80"/>
              <w:left w:type="dxa" w:w="100"/>
              <w:bottom w:type="dxa" w:w="80"/>
              <w:right w:type="dxa" w:w="100"/>
            </w:tcMar>
            <w:vAlign w:val="center"/>
          </w:tcPr>
          <w:p>
            <w:pPr>
              <w:jc w:val="left"/>
            </w:pPr>
            <w:r>
              <w:rPr>
                <w:b/>
                <w:bCs/>
                <w:color w:val="FFFFFF"/>
                <w:sz w:val="19"/>
                <w:szCs w:val="19"/>
              </w:rPr>
              <w:t xml:space="preserve">Écran</w:t>
            </w:r>
          </w:p>
        </w:tc>
        <w:tc>
          <w:tcPr>
            <w:tcW w:type="dxa" w:w="3200"/>
            <w:shd w:fill="1F3864" w:val="clear"/>
            <w:tcMar>
              <w:top w:type="dxa" w:w="80"/>
              <w:left w:type="dxa" w:w="100"/>
              <w:bottom w:type="dxa" w:w="80"/>
              <w:right w:type="dxa" w:w="100"/>
            </w:tcMar>
            <w:vAlign w:val="center"/>
          </w:tcPr>
          <w:p>
            <w:pPr>
              <w:jc w:val="left"/>
            </w:pPr>
            <w:r>
              <w:rPr>
                <w:b/>
                <w:bCs/>
                <w:color w:val="FFFFFF"/>
                <w:sz w:val="19"/>
                <w:szCs w:val="19"/>
              </w:rPr>
              <w:t xml:space="preserve">Rôle(s) principal(aux)</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1</w:t>
            </w:r>
          </w:p>
        </w:tc>
        <w:tc>
          <w:tcPr>
            <w:tcW w:type="dxa" w:w="4900"/>
            <w:shd w:fill="FFFFFF" w:val="clear"/>
            <w:tcMar>
              <w:top w:type="dxa" w:w="80"/>
              <w:left w:type="dxa" w:w="100"/>
              <w:bottom w:type="dxa" w:w="80"/>
              <w:right w:type="dxa" w:w="100"/>
            </w:tcMar>
            <w:vAlign w:val="center"/>
          </w:tcPr>
          <w:p>
            <w:pPr>
              <w:jc w:val="left"/>
            </w:pPr>
            <w:r>
              <w:rPr>
                <w:b w:val="false"/>
                <w:bCs w:val="false"/>
                <w:sz w:val="19"/>
                <w:szCs w:val="19"/>
              </w:rPr>
              <w:t xml:space="preserve">Paramétrage des critères d'évaluation</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Administrateur RH</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2</w:t>
            </w:r>
          </w:p>
        </w:tc>
        <w:tc>
          <w:tcPr>
            <w:tcW w:type="dxa" w:w="4900"/>
            <w:shd w:fill="F2F2F2" w:val="clear"/>
            <w:tcMar>
              <w:top w:type="dxa" w:w="80"/>
              <w:left w:type="dxa" w:w="100"/>
              <w:bottom w:type="dxa" w:w="80"/>
              <w:right w:type="dxa" w:w="100"/>
            </w:tcMar>
            <w:vAlign w:val="center"/>
          </w:tcPr>
          <w:p>
            <w:pPr>
              <w:jc w:val="left"/>
            </w:pPr>
            <w:r>
              <w:rPr>
                <w:b w:val="false"/>
                <w:bCs w:val="false"/>
                <w:sz w:val="19"/>
                <w:szCs w:val="19"/>
              </w:rPr>
              <w:t xml:space="preserve">Paramétrage du calendrier de campagne</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Administrateur RH</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3</w:t>
            </w:r>
          </w:p>
        </w:tc>
        <w:tc>
          <w:tcPr>
            <w:tcW w:type="dxa" w:w="4900"/>
            <w:shd w:fill="FFFFFF" w:val="clear"/>
            <w:tcMar>
              <w:top w:type="dxa" w:w="80"/>
              <w:left w:type="dxa" w:w="100"/>
              <w:bottom w:type="dxa" w:w="80"/>
              <w:right w:type="dxa" w:w="100"/>
            </w:tcMar>
            <w:vAlign w:val="center"/>
          </w:tcPr>
          <w:p>
            <w:pPr>
              <w:jc w:val="left"/>
            </w:pPr>
            <w:r>
              <w:rPr>
                <w:b w:val="false"/>
                <w:bCs w:val="false"/>
                <w:sz w:val="19"/>
                <w:szCs w:val="19"/>
              </w:rPr>
              <w:t xml:space="preserve">Rapport d'anomalies d'organigramme</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Administrateur RH</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4</w:t>
            </w:r>
          </w:p>
        </w:tc>
        <w:tc>
          <w:tcPr>
            <w:tcW w:type="dxa" w:w="4900"/>
            <w:shd w:fill="F2F2F2" w:val="clear"/>
            <w:tcMar>
              <w:top w:type="dxa" w:w="80"/>
              <w:left w:type="dxa" w:w="100"/>
              <w:bottom w:type="dxa" w:w="80"/>
              <w:right w:type="dxa" w:w="100"/>
            </w:tcMar>
            <w:vAlign w:val="center"/>
          </w:tcPr>
          <w:p>
            <w:pPr>
              <w:jc w:val="left"/>
            </w:pPr>
            <w:r>
              <w:rPr>
                <w:b w:val="false"/>
                <w:bCs w:val="false"/>
                <w:sz w:val="19"/>
                <w:szCs w:val="19"/>
              </w:rPr>
              <w:t xml:space="preserve">Création et lancement de campagne</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DG, Administrateur RH</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5</w:t>
            </w:r>
          </w:p>
        </w:tc>
        <w:tc>
          <w:tcPr>
            <w:tcW w:type="dxa" w:w="4900"/>
            <w:shd w:fill="FFFFFF" w:val="clear"/>
            <w:tcMar>
              <w:top w:type="dxa" w:w="80"/>
              <w:left w:type="dxa" w:w="100"/>
              <w:bottom w:type="dxa" w:w="80"/>
              <w:right w:type="dxa" w:w="100"/>
            </w:tcMar>
            <w:vAlign w:val="center"/>
          </w:tcPr>
          <w:p>
            <w:pPr>
              <w:jc w:val="left"/>
            </w:pPr>
            <w:r>
              <w:rPr>
                <w:b w:val="false"/>
                <w:bCs w:val="false"/>
                <w:sz w:val="19"/>
                <w:szCs w:val="19"/>
              </w:rPr>
              <w:t xml:space="preserve">Validation et signature de la note de service</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DG</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6</w:t>
            </w:r>
          </w:p>
        </w:tc>
        <w:tc>
          <w:tcPr>
            <w:tcW w:type="dxa" w:w="4900"/>
            <w:shd w:fill="F2F2F2" w:val="clear"/>
            <w:tcMar>
              <w:top w:type="dxa" w:w="80"/>
              <w:left w:type="dxa" w:w="100"/>
              <w:bottom w:type="dxa" w:w="80"/>
              <w:right w:type="dxa" w:w="100"/>
            </w:tcMar>
            <w:vAlign w:val="center"/>
          </w:tcPr>
          <w:p>
            <w:pPr>
              <w:jc w:val="left"/>
            </w:pPr>
            <w:r>
              <w:rPr>
                <w:b w:val="false"/>
                <w:bCs w:val="false"/>
                <w:sz w:val="19"/>
                <w:szCs w:val="19"/>
              </w:rPr>
              <w:t xml:space="preserve">Suivi de diffusion des fiches</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DG, SG, DAF, Division RH</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7</w:t>
            </w:r>
          </w:p>
        </w:tc>
        <w:tc>
          <w:tcPr>
            <w:tcW w:type="dxa" w:w="4900"/>
            <w:shd w:fill="FFFFFF" w:val="clear"/>
            <w:tcMar>
              <w:top w:type="dxa" w:w="80"/>
              <w:left w:type="dxa" w:w="100"/>
              <w:bottom w:type="dxa" w:w="80"/>
              <w:right w:type="dxa" w:w="100"/>
            </w:tcMar>
            <w:vAlign w:val="center"/>
          </w:tcPr>
          <w:p>
            <w:pPr>
              <w:jc w:val="left"/>
            </w:pPr>
            <w:r>
              <w:rPr>
                <w:b w:val="false"/>
                <w:bCs w:val="false"/>
                <w:sz w:val="19"/>
                <w:szCs w:val="19"/>
              </w:rPr>
              <w:t xml:space="preserve">Mes évaluations à planifier</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Responsable hiérarchique</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8</w:t>
            </w:r>
          </w:p>
        </w:tc>
        <w:tc>
          <w:tcPr>
            <w:tcW w:type="dxa" w:w="4900"/>
            <w:shd w:fill="F2F2F2" w:val="clear"/>
            <w:tcMar>
              <w:top w:type="dxa" w:w="80"/>
              <w:left w:type="dxa" w:w="100"/>
              <w:bottom w:type="dxa" w:w="80"/>
              <w:right w:type="dxa" w:w="100"/>
            </w:tcMar>
            <w:vAlign w:val="center"/>
          </w:tcPr>
          <w:p>
            <w:pPr>
              <w:jc w:val="left"/>
            </w:pPr>
            <w:r>
              <w:rPr>
                <w:b w:val="false"/>
                <w:bCs w:val="false"/>
                <w:sz w:val="19"/>
                <w:szCs w:val="19"/>
              </w:rPr>
              <w:t xml:space="preserve">Mes convocations</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Agent évalué</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9</w:t>
            </w:r>
          </w:p>
        </w:tc>
        <w:tc>
          <w:tcPr>
            <w:tcW w:type="dxa" w:w="4900"/>
            <w:shd w:fill="FFFFFF" w:val="clear"/>
            <w:tcMar>
              <w:top w:type="dxa" w:w="80"/>
              <w:left w:type="dxa" w:w="100"/>
              <w:bottom w:type="dxa" w:w="80"/>
              <w:right w:type="dxa" w:w="100"/>
            </w:tcMar>
            <w:vAlign w:val="center"/>
          </w:tcPr>
          <w:p>
            <w:pPr>
              <w:jc w:val="left"/>
            </w:pPr>
            <w:r>
              <w:rPr>
                <w:b w:val="false"/>
                <w:bCs w:val="false"/>
                <w:sz w:val="19"/>
                <w:szCs w:val="19"/>
              </w:rPr>
              <w:t xml:space="preserve">Conduite de l'entretien / Notation</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Responsable hiérarchique</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10</w:t>
            </w:r>
          </w:p>
        </w:tc>
        <w:tc>
          <w:tcPr>
            <w:tcW w:type="dxa" w:w="4900"/>
            <w:shd w:fill="F2F2F2" w:val="clear"/>
            <w:tcMar>
              <w:top w:type="dxa" w:w="80"/>
              <w:left w:type="dxa" w:w="100"/>
              <w:bottom w:type="dxa" w:w="80"/>
              <w:right w:type="dxa" w:w="100"/>
            </w:tcMar>
            <w:vAlign w:val="center"/>
          </w:tcPr>
          <w:p>
            <w:pPr>
              <w:jc w:val="left"/>
            </w:pPr>
            <w:r>
              <w:rPr>
                <w:b w:val="false"/>
                <w:bCs w:val="false"/>
                <w:sz w:val="19"/>
                <w:szCs w:val="19"/>
              </w:rPr>
              <w:t xml:space="preserve">Accord et signature</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Agent évalué</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11</w:t>
            </w:r>
          </w:p>
        </w:tc>
        <w:tc>
          <w:tcPr>
            <w:tcW w:type="dxa" w:w="4900"/>
            <w:shd w:fill="FFFFFF" w:val="clear"/>
            <w:tcMar>
              <w:top w:type="dxa" w:w="80"/>
              <w:left w:type="dxa" w:w="100"/>
              <w:bottom w:type="dxa" w:w="80"/>
              <w:right w:type="dxa" w:w="100"/>
            </w:tcMar>
            <w:vAlign w:val="center"/>
          </w:tcPr>
          <w:p>
            <w:pPr>
              <w:jc w:val="left"/>
            </w:pPr>
            <w:r>
              <w:rPr>
                <w:b w:val="false"/>
                <w:bCs w:val="false"/>
                <w:sz w:val="19"/>
                <w:szCs w:val="19"/>
              </w:rPr>
              <w:t xml:space="preserve">Mes évaluations menées (historique)</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Responsable hiérarchique</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12</w:t>
            </w:r>
          </w:p>
        </w:tc>
        <w:tc>
          <w:tcPr>
            <w:tcW w:type="dxa" w:w="4900"/>
            <w:shd w:fill="F2F2F2" w:val="clear"/>
            <w:tcMar>
              <w:top w:type="dxa" w:w="80"/>
              <w:left w:type="dxa" w:w="100"/>
              <w:bottom w:type="dxa" w:w="80"/>
              <w:right w:type="dxa" w:w="100"/>
            </w:tcMar>
            <w:vAlign w:val="center"/>
          </w:tcPr>
          <w:p>
            <w:pPr>
              <w:jc w:val="left"/>
            </w:pPr>
            <w:r>
              <w:rPr>
                <w:b w:val="false"/>
                <w:bCs w:val="false"/>
                <w:sz w:val="19"/>
                <w:szCs w:val="19"/>
              </w:rPr>
              <w:t xml:space="preserve">Réception des fiches</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DAF, Division RH</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13</w:t>
            </w:r>
          </w:p>
        </w:tc>
        <w:tc>
          <w:tcPr>
            <w:tcW w:type="dxa" w:w="4900"/>
            <w:shd w:fill="FFFFFF" w:val="clear"/>
            <w:tcMar>
              <w:top w:type="dxa" w:w="80"/>
              <w:left w:type="dxa" w:w="100"/>
              <w:bottom w:type="dxa" w:w="80"/>
              <w:right w:type="dxa" w:w="100"/>
            </w:tcMar>
            <w:vAlign w:val="center"/>
          </w:tcPr>
          <w:p>
            <w:pPr>
              <w:jc w:val="left"/>
            </w:pPr>
            <w:r>
              <w:rPr>
                <w:b w:val="false"/>
                <w:bCs w:val="false"/>
                <w:sz w:val="19"/>
                <w:szCs w:val="19"/>
              </w:rPr>
              <w:t xml:space="preserve">Tableau de synthèse des évaluations</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DAF, Division RH, DG</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14</w:t>
            </w:r>
          </w:p>
        </w:tc>
        <w:tc>
          <w:tcPr>
            <w:tcW w:type="dxa" w:w="4900"/>
            <w:shd w:fill="F2F2F2" w:val="clear"/>
            <w:tcMar>
              <w:top w:type="dxa" w:w="80"/>
              <w:left w:type="dxa" w:w="100"/>
              <w:bottom w:type="dxa" w:w="80"/>
              <w:right w:type="dxa" w:w="100"/>
            </w:tcMar>
            <w:vAlign w:val="center"/>
          </w:tcPr>
          <w:p>
            <w:pPr>
              <w:jc w:val="left"/>
            </w:pPr>
            <w:r>
              <w:rPr>
                <w:b w:val="false"/>
                <w:bCs w:val="false"/>
                <w:sz w:val="19"/>
                <w:szCs w:val="19"/>
              </w:rPr>
              <w:t xml:space="preserve">Étude et décision (rapport de synthèse)</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DG, SG</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15</w:t>
            </w:r>
          </w:p>
        </w:tc>
        <w:tc>
          <w:tcPr>
            <w:tcW w:type="dxa" w:w="4900"/>
            <w:shd w:fill="FFFFFF" w:val="clear"/>
            <w:tcMar>
              <w:top w:type="dxa" w:w="80"/>
              <w:left w:type="dxa" w:w="100"/>
              <w:bottom w:type="dxa" w:w="80"/>
              <w:right w:type="dxa" w:w="100"/>
            </w:tcMar>
            <w:vAlign w:val="center"/>
          </w:tcPr>
          <w:p>
            <w:pPr>
              <w:jc w:val="left"/>
            </w:pPr>
            <w:r>
              <w:rPr>
                <w:b w:val="false"/>
                <w:bCs w:val="false"/>
                <w:sz w:val="19"/>
                <w:szCs w:val="19"/>
              </w:rPr>
              <w:t xml:space="preserve">Décisions de gratification</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DG</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16</w:t>
            </w:r>
          </w:p>
        </w:tc>
        <w:tc>
          <w:tcPr>
            <w:tcW w:type="dxa" w:w="4900"/>
            <w:shd w:fill="F2F2F2" w:val="clear"/>
            <w:tcMar>
              <w:top w:type="dxa" w:w="80"/>
              <w:left w:type="dxa" w:w="100"/>
              <w:bottom w:type="dxa" w:w="80"/>
              <w:right w:type="dxa" w:w="100"/>
            </w:tcMar>
            <w:vAlign w:val="center"/>
          </w:tcPr>
          <w:p>
            <w:pPr>
              <w:jc w:val="left"/>
            </w:pPr>
            <w:r>
              <w:rPr>
                <w:b w:val="false"/>
                <w:bCs w:val="false"/>
                <w:sz w:val="19"/>
                <w:szCs w:val="19"/>
              </w:rPr>
              <w:t xml:space="preserve">Notification des agents (génération courriers)</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DAF</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17</w:t>
            </w:r>
          </w:p>
        </w:tc>
        <w:tc>
          <w:tcPr>
            <w:tcW w:type="dxa" w:w="4900"/>
            <w:shd w:fill="FFFFFF" w:val="clear"/>
            <w:tcMar>
              <w:top w:type="dxa" w:w="80"/>
              <w:left w:type="dxa" w:w="100"/>
              <w:bottom w:type="dxa" w:w="80"/>
              <w:right w:type="dxa" w:w="100"/>
            </w:tcMar>
            <w:vAlign w:val="center"/>
          </w:tcPr>
          <w:p>
            <w:pPr>
              <w:jc w:val="left"/>
            </w:pPr>
            <w:r>
              <w:rPr>
                <w:b w:val="false"/>
                <w:bCs w:val="false"/>
                <w:sz w:val="19"/>
                <w:szCs w:val="19"/>
              </w:rPr>
              <w:t xml:space="preserve">Mon évaluation (consultation résultat)</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Agent évalué</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18</w:t>
            </w:r>
          </w:p>
        </w:tc>
        <w:tc>
          <w:tcPr>
            <w:tcW w:type="dxa" w:w="4900"/>
            <w:shd w:fill="F2F2F2" w:val="clear"/>
            <w:tcMar>
              <w:top w:type="dxa" w:w="80"/>
              <w:left w:type="dxa" w:w="100"/>
              <w:bottom w:type="dxa" w:w="80"/>
              <w:right w:type="dxa" w:w="100"/>
            </w:tcMar>
            <w:vAlign w:val="center"/>
          </w:tcPr>
          <w:p>
            <w:pPr>
              <w:jc w:val="left"/>
            </w:pPr>
            <w:r>
              <w:rPr>
                <w:b w:val="false"/>
                <w:bCs w:val="false"/>
                <w:sz w:val="19"/>
                <w:szCs w:val="19"/>
              </w:rPr>
              <w:t xml:space="preserve">Tableau de bord campagne</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DG, SG, DAF, Division RH, Administrateur RH</w:t>
            </w:r>
          </w:p>
        </w:tc>
      </w:tr>
      <w:tr>
        <w:tc>
          <w:tcPr>
            <w:tcW w:type="dxa" w:w="500"/>
            <w:shd w:fill="FFFFFF" w:val="clear"/>
            <w:tcMar>
              <w:top w:type="dxa" w:w="80"/>
              <w:left w:type="dxa" w:w="100"/>
              <w:bottom w:type="dxa" w:w="80"/>
              <w:right w:type="dxa" w:w="100"/>
            </w:tcMar>
            <w:vAlign w:val="center"/>
          </w:tcPr>
          <w:p>
            <w:pPr>
              <w:jc w:val="left"/>
            </w:pPr>
            <w:r>
              <w:rPr>
                <w:b w:val="false"/>
                <w:bCs w:val="false"/>
                <w:sz w:val="19"/>
                <w:szCs w:val="19"/>
              </w:rPr>
              <w:t xml:space="preserve">19</w:t>
            </w:r>
          </w:p>
        </w:tc>
        <w:tc>
          <w:tcPr>
            <w:tcW w:type="dxa" w:w="4900"/>
            <w:shd w:fill="FFFFFF" w:val="clear"/>
            <w:tcMar>
              <w:top w:type="dxa" w:w="80"/>
              <w:left w:type="dxa" w:w="100"/>
              <w:bottom w:type="dxa" w:w="80"/>
              <w:right w:type="dxa" w:w="100"/>
            </w:tcMar>
            <w:vAlign w:val="center"/>
          </w:tcPr>
          <w:p>
            <w:pPr>
              <w:jc w:val="left"/>
            </w:pPr>
            <w:r>
              <w:rPr>
                <w:b w:val="false"/>
                <w:bCs w:val="false"/>
                <w:sz w:val="19"/>
                <w:szCs w:val="19"/>
              </w:rPr>
              <w:t xml:space="preserve">Historique des campagnes</w:t>
            </w:r>
          </w:p>
        </w:tc>
        <w:tc>
          <w:tcPr>
            <w:tcW w:type="dxa" w:w="3200"/>
            <w:shd w:fill="FFFFFF" w:val="clear"/>
            <w:tcMar>
              <w:top w:type="dxa" w:w="80"/>
              <w:left w:type="dxa" w:w="100"/>
              <w:bottom w:type="dxa" w:w="80"/>
              <w:right w:type="dxa" w:w="100"/>
            </w:tcMar>
            <w:vAlign w:val="center"/>
          </w:tcPr>
          <w:p>
            <w:pPr>
              <w:jc w:val="left"/>
            </w:pPr>
            <w:r>
              <w:rPr>
                <w:b w:val="false"/>
                <w:bCs w:val="false"/>
                <w:sz w:val="19"/>
                <w:szCs w:val="19"/>
              </w:rPr>
              <w:t xml:space="preserve">Tous rôles habilités</w:t>
            </w:r>
          </w:p>
        </w:tc>
      </w:tr>
      <w:tr>
        <w:tc>
          <w:tcPr>
            <w:tcW w:type="dxa" w:w="500"/>
            <w:shd w:fill="F2F2F2" w:val="clear"/>
            <w:tcMar>
              <w:top w:type="dxa" w:w="80"/>
              <w:left w:type="dxa" w:w="100"/>
              <w:bottom w:type="dxa" w:w="80"/>
              <w:right w:type="dxa" w:w="100"/>
            </w:tcMar>
            <w:vAlign w:val="center"/>
          </w:tcPr>
          <w:p>
            <w:pPr>
              <w:jc w:val="left"/>
            </w:pPr>
            <w:r>
              <w:rPr>
                <w:b w:val="false"/>
                <w:bCs w:val="false"/>
                <w:sz w:val="19"/>
                <w:szCs w:val="19"/>
              </w:rPr>
              <w:t xml:space="preserve">20</w:t>
            </w:r>
          </w:p>
        </w:tc>
        <w:tc>
          <w:tcPr>
            <w:tcW w:type="dxa" w:w="4900"/>
            <w:shd w:fill="F2F2F2" w:val="clear"/>
            <w:tcMar>
              <w:top w:type="dxa" w:w="80"/>
              <w:left w:type="dxa" w:w="100"/>
              <w:bottom w:type="dxa" w:w="80"/>
              <w:right w:type="dxa" w:w="100"/>
            </w:tcMar>
            <w:vAlign w:val="center"/>
          </w:tcPr>
          <w:p>
            <w:pPr>
              <w:jc w:val="left"/>
            </w:pPr>
            <w:r>
              <w:rPr>
                <w:b w:val="false"/>
                <w:bCs w:val="false"/>
                <w:sz w:val="19"/>
                <w:szCs w:val="19"/>
              </w:rPr>
              <w:t xml:space="preserve">Journal d'audit</w:t>
            </w:r>
          </w:p>
        </w:tc>
        <w:tc>
          <w:tcPr>
            <w:tcW w:type="dxa" w:w="3200"/>
            <w:shd w:fill="F2F2F2" w:val="clear"/>
            <w:tcMar>
              <w:top w:type="dxa" w:w="80"/>
              <w:left w:type="dxa" w:w="100"/>
              <w:bottom w:type="dxa" w:w="80"/>
              <w:right w:type="dxa" w:w="100"/>
            </w:tcMar>
            <w:vAlign w:val="center"/>
          </w:tcPr>
          <w:p>
            <w:pPr>
              <w:jc w:val="left"/>
            </w:pPr>
            <w:r>
              <w:rPr>
                <w:b w:val="false"/>
                <w:bCs w:val="false"/>
                <w:sz w:val="19"/>
                <w:szCs w:val="19"/>
              </w:rPr>
              <w:t xml:space="preserve">Administrateur RH, DAF</w:t>
            </w:r>
          </w:p>
        </w:tc>
      </w:tr>
    </w:tbl>
    <w:p>
      <w:pPr>
        <w:pStyle w:val="Heading1"/>
        <w:spacing w:after="200" w:before="400"/>
      </w:pPr>
      <w:r>
        <w:t xml:space="preserve">15. Glossaire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Terme</w:t>
            </w:r>
          </w:p>
        </w:tc>
        <w:tc>
          <w:tcPr>
            <w:tcW w:type="dxa" w:w="6000"/>
            <w:shd w:fill="1F3864" w:val="clear"/>
            <w:tcMar>
              <w:top w:type="dxa" w:w="80"/>
              <w:left w:type="dxa" w:w="100"/>
              <w:bottom w:type="dxa" w:w="80"/>
              <w:right w:type="dxa" w:w="100"/>
            </w:tcMar>
            <w:vAlign w:val="center"/>
          </w:tcPr>
          <w:p>
            <w:pPr>
              <w:jc w:val="left"/>
            </w:pPr>
            <w:r>
              <w:rPr>
                <w:b/>
                <w:bCs/>
                <w:color w:val="FFFFFF"/>
                <w:sz w:val="19"/>
                <w:szCs w:val="19"/>
              </w:rPr>
              <w:t xml:space="preserve">Définition</w:t>
            </w:r>
          </w:p>
        </w:tc>
      </w:tr>
      <w:tr>
        <w:tc>
          <w:tcPr>
            <w:tcW w:type="dxa" w:w="2600"/>
            <w:shd w:fill="FFFFFF" w:val="clear"/>
            <w:tcMar>
              <w:top w:type="dxa" w:w="80"/>
              <w:left w:type="dxa" w:w="100"/>
              <w:bottom w:type="dxa" w:w="80"/>
              <w:right w:type="dxa" w:w="100"/>
            </w:tcMar>
            <w:vAlign w:val="center"/>
          </w:tcPr>
          <w:p>
            <w:pPr>
              <w:jc w:val="left"/>
            </w:pPr>
            <w:r>
              <w:rPr>
                <w:b w:val="false"/>
                <w:bCs w:val="false"/>
                <w:sz w:val="19"/>
                <w:szCs w:val="19"/>
              </w:rPr>
              <w:t xml:space="preserve">ANASER</w:t>
            </w:r>
          </w:p>
        </w:tc>
        <w:tc>
          <w:tcPr>
            <w:tcW w:type="dxa" w:w="6000"/>
            <w:shd w:fill="FFFFFF" w:val="clear"/>
            <w:tcMar>
              <w:top w:type="dxa" w:w="80"/>
              <w:left w:type="dxa" w:w="100"/>
              <w:bottom w:type="dxa" w:w="80"/>
              <w:right w:type="dxa" w:w="100"/>
            </w:tcMar>
            <w:vAlign w:val="center"/>
          </w:tcPr>
          <w:p>
            <w:pPr>
              <w:jc w:val="left"/>
            </w:pPr>
            <w:r>
              <w:rPr>
                <w:b w:val="false"/>
                <w:bCs w:val="false"/>
                <w:sz w:val="19"/>
                <w:szCs w:val="19"/>
              </w:rPr>
              <w:t xml:space="preserve">Agence Nationale de la Sécurité Routière</w:t>
            </w:r>
          </w:p>
        </w:tc>
      </w:tr>
      <w:tr>
        <w:tc>
          <w:tcPr>
            <w:tcW w:type="dxa" w:w="2600"/>
            <w:shd w:fill="F2F2F2" w:val="clear"/>
            <w:tcMar>
              <w:top w:type="dxa" w:w="80"/>
              <w:left w:type="dxa" w:w="100"/>
              <w:bottom w:type="dxa" w:w="80"/>
              <w:right w:type="dxa" w:w="100"/>
            </w:tcMar>
            <w:vAlign w:val="center"/>
          </w:tcPr>
          <w:p>
            <w:pPr>
              <w:jc w:val="left"/>
            </w:pPr>
            <w:r>
              <w:rPr>
                <w:b w:val="false"/>
                <w:bCs w:val="false"/>
                <w:sz w:val="19"/>
                <w:szCs w:val="19"/>
              </w:rPr>
              <w:t xml:space="preserve">DAF</w:t>
            </w:r>
          </w:p>
        </w:tc>
        <w:tc>
          <w:tcPr>
            <w:tcW w:type="dxa" w:w="6000"/>
            <w:shd w:fill="F2F2F2" w:val="clear"/>
            <w:tcMar>
              <w:top w:type="dxa" w:w="80"/>
              <w:left w:type="dxa" w:w="100"/>
              <w:bottom w:type="dxa" w:w="80"/>
              <w:right w:type="dxa" w:w="100"/>
            </w:tcMar>
            <w:vAlign w:val="center"/>
          </w:tcPr>
          <w:p>
            <w:pPr>
              <w:jc w:val="left"/>
            </w:pPr>
            <w:r>
              <w:rPr>
                <w:b w:val="false"/>
                <w:bCs w:val="false"/>
                <w:sz w:val="19"/>
                <w:szCs w:val="19"/>
              </w:rPr>
              <w:t xml:space="preserve">Directeur Administratif et Financier</w:t>
            </w:r>
          </w:p>
        </w:tc>
      </w:tr>
      <w:tr>
        <w:tc>
          <w:tcPr>
            <w:tcW w:type="dxa" w:w="2600"/>
            <w:shd w:fill="FFFFFF" w:val="clear"/>
            <w:tcMar>
              <w:top w:type="dxa" w:w="80"/>
              <w:left w:type="dxa" w:w="100"/>
              <w:bottom w:type="dxa" w:w="80"/>
              <w:right w:type="dxa" w:w="100"/>
            </w:tcMar>
            <w:vAlign w:val="center"/>
          </w:tcPr>
          <w:p>
            <w:pPr>
              <w:jc w:val="left"/>
            </w:pPr>
            <w:r>
              <w:rPr>
                <w:b w:val="false"/>
                <w:bCs w:val="false"/>
                <w:sz w:val="19"/>
                <w:szCs w:val="19"/>
              </w:rPr>
              <w:t xml:space="preserve">DG</w:t>
            </w:r>
          </w:p>
        </w:tc>
        <w:tc>
          <w:tcPr>
            <w:tcW w:type="dxa" w:w="6000"/>
            <w:shd w:fill="FFFFFF" w:val="clear"/>
            <w:tcMar>
              <w:top w:type="dxa" w:w="80"/>
              <w:left w:type="dxa" w:w="100"/>
              <w:bottom w:type="dxa" w:w="80"/>
              <w:right w:type="dxa" w:w="100"/>
            </w:tcMar>
            <w:vAlign w:val="center"/>
          </w:tcPr>
          <w:p>
            <w:pPr>
              <w:jc w:val="left"/>
            </w:pPr>
            <w:r>
              <w:rPr>
                <w:b w:val="false"/>
                <w:bCs w:val="false"/>
                <w:sz w:val="19"/>
                <w:szCs w:val="19"/>
              </w:rPr>
              <w:t xml:space="preserve">Directeur général</w:t>
            </w:r>
          </w:p>
        </w:tc>
      </w:tr>
      <w:tr>
        <w:tc>
          <w:tcPr>
            <w:tcW w:type="dxa" w:w="2600"/>
            <w:shd w:fill="F2F2F2" w:val="clear"/>
            <w:tcMar>
              <w:top w:type="dxa" w:w="80"/>
              <w:left w:type="dxa" w:w="100"/>
              <w:bottom w:type="dxa" w:w="80"/>
              <w:right w:type="dxa" w:w="100"/>
            </w:tcMar>
            <w:vAlign w:val="center"/>
          </w:tcPr>
          <w:p>
            <w:pPr>
              <w:jc w:val="left"/>
            </w:pPr>
            <w:r>
              <w:rPr>
                <w:b w:val="false"/>
                <w:bCs w:val="false"/>
                <w:sz w:val="19"/>
                <w:szCs w:val="19"/>
              </w:rPr>
              <w:t xml:space="preserve">SG</w:t>
            </w:r>
          </w:p>
        </w:tc>
        <w:tc>
          <w:tcPr>
            <w:tcW w:type="dxa" w:w="6000"/>
            <w:shd w:fill="F2F2F2" w:val="clear"/>
            <w:tcMar>
              <w:top w:type="dxa" w:w="80"/>
              <w:left w:type="dxa" w:w="100"/>
              <w:bottom w:type="dxa" w:w="80"/>
              <w:right w:type="dxa" w:w="100"/>
            </w:tcMar>
            <w:vAlign w:val="center"/>
          </w:tcPr>
          <w:p>
            <w:pPr>
              <w:jc w:val="left"/>
            </w:pPr>
            <w:r>
              <w:rPr>
                <w:b w:val="false"/>
                <w:bCs w:val="false"/>
                <w:sz w:val="19"/>
                <w:szCs w:val="19"/>
              </w:rPr>
              <w:t xml:space="preserve">Secrétaire général</w:t>
            </w:r>
          </w:p>
        </w:tc>
      </w:tr>
      <w:tr>
        <w:tc>
          <w:tcPr>
            <w:tcW w:type="dxa" w:w="2600"/>
            <w:shd w:fill="FFFFFF" w:val="clear"/>
            <w:tcMar>
              <w:top w:type="dxa" w:w="80"/>
              <w:left w:type="dxa" w:w="100"/>
              <w:bottom w:type="dxa" w:w="80"/>
              <w:right w:type="dxa" w:w="100"/>
            </w:tcMar>
            <w:vAlign w:val="center"/>
          </w:tcPr>
          <w:p>
            <w:pPr>
              <w:jc w:val="left"/>
            </w:pPr>
            <w:r>
              <w:rPr>
                <w:b w:val="false"/>
                <w:bCs w:val="false"/>
                <w:sz w:val="19"/>
                <w:szCs w:val="19"/>
              </w:rPr>
              <w:t xml:space="preserve">SIRH</w:t>
            </w:r>
          </w:p>
        </w:tc>
        <w:tc>
          <w:tcPr>
            <w:tcW w:type="dxa" w:w="6000"/>
            <w:shd w:fill="FFFFFF" w:val="clear"/>
            <w:tcMar>
              <w:top w:type="dxa" w:w="80"/>
              <w:left w:type="dxa" w:w="100"/>
              <w:bottom w:type="dxa" w:w="80"/>
              <w:right w:type="dxa" w:w="100"/>
            </w:tcMar>
            <w:vAlign w:val="center"/>
          </w:tcPr>
          <w:p>
            <w:pPr>
              <w:jc w:val="left"/>
            </w:pPr>
            <w:r>
              <w:rPr>
                <w:b w:val="false"/>
                <w:bCs w:val="false"/>
                <w:sz w:val="19"/>
                <w:szCs w:val="19"/>
              </w:rPr>
              <w:t xml:space="preserve">Système d'Information de Gestion des Ressources Humaines</w:t>
            </w:r>
          </w:p>
        </w:tc>
      </w:tr>
      <w:tr>
        <w:tc>
          <w:tcPr>
            <w:tcW w:type="dxa" w:w="2600"/>
            <w:shd w:fill="F2F2F2" w:val="clear"/>
            <w:tcMar>
              <w:top w:type="dxa" w:w="80"/>
              <w:left w:type="dxa" w:w="100"/>
              <w:bottom w:type="dxa" w:w="80"/>
              <w:right w:type="dxa" w:w="100"/>
            </w:tcMar>
            <w:vAlign w:val="center"/>
          </w:tcPr>
          <w:p>
            <w:pPr>
              <w:jc w:val="left"/>
            </w:pPr>
            <w:r>
              <w:rPr>
                <w:b w:val="false"/>
                <w:bCs w:val="false"/>
                <w:sz w:val="19"/>
                <w:szCs w:val="19"/>
              </w:rPr>
              <w:t xml:space="preserve">NiidPro</w:t>
            </w:r>
          </w:p>
        </w:tc>
        <w:tc>
          <w:tcPr>
            <w:tcW w:type="dxa" w:w="6000"/>
            <w:shd w:fill="F2F2F2" w:val="clear"/>
            <w:tcMar>
              <w:top w:type="dxa" w:w="80"/>
              <w:left w:type="dxa" w:w="100"/>
              <w:bottom w:type="dxa" w:w="80"/>
              <w:right w:type="dxa" w:w="100"/>
            </w:tcMar>
            <w:vAlign w:val="center"/>
          </w:tcPr>
          <w:p>
            <w:pPr>
              <w:jc w:val="left"/>
            </w:pPr>
            <w:r>
              <w:rPr>
                <w:b w:val="false"/>
                <w:bCs w:val="false"/>
                <w:sz w:val="19"/>
                <w:szCs w:val="19"/>
              </w:rPr>
              <w:t xml:space="preserve">Plateforme SIRH développée par DstComputing</w:t>
            </w:r>
          </w:p>
        </w:tc>
      </w:tr>
      <w:tr>
        <w:tc>
          <w:tcPr>
            <w:tcW w:type="dxa" w:w="2600"/>
            <w:shd w:fill="FFFFFF" w:val="clear"/>
            <w:tcMar>
              <w:top w:type="dxa" w:w="80"/>
              <w:left w:type="dxa" w:w="100"/>
              <w:bottom w:type="dxa" w:w="80"/>
              <w:right w:type="dxa" w:w="100"/>
            </w:tcMar>
            <w:vAlign w:val="center"/>
          </w:tcPr>
          <w:p>
            <w:pPr>
              <w:jc w:val="left"/>
            </w:pPr>
            <w:r>
              <w:rPr>
                <w:b w:val="false"/>
                <w:bCs w:val="false"/>
                <w:sz w:val="19"/>
                <w:szCs w:val="19"/>
              </w:rPr>
              <w:t xml:space="preserve">Sous-procédure</w:t>
            </w:r>
          </w:p>
        </w:tc>
        <w:tc>
          <w:tcPr>
            <w:tcW w:type="dxa" w:w="6000"/>
            <w:shd w:fill="FFFFFF" w:val="clear"/>
            <w:tcMar>
              <w:top w:type="dxa" w:w="80"/>
              <w:left w:type="dxa" w:w="100"/>
              <w:bottom w:type="dxa" w:w="80"/>
              <w:right w:type="dxa" w:w="100"/>
            </w:tcMar>
            <w:vAlign w:val="center"/>
          </w:tcPr>
          <w:p>
            <w:pPr>
              <w:jc w:val="left"/>
            </w:pPr>
            <w:r>
              <w:rPr>
                <w:b w:val="false"/>
                <w:bCs w:val="false"/>
                <w:sz w:val="19"/>
                <w:szCs w:val="19"/>
              </w:rPr>
              <w:t xml:space="preserve">Étape structurée de la procédure d'évaluation telle que définie dans le Manuel de procédures ANASER</w:t>
            </w:r>
          </w:p>
        </w:tc>
      </w:tr>
      <w:tr>
        <w:tc>
          <w:tcPr>
            <w:tcW w:type="dxa" w:w="2600"/>
            <w:shd w:fill="F2F2F2" w:val="clear"/>
            <w:tcMar>
              <w:top w:type="dxa" w:w="80"/>
              <w:left w:type="dxa" w:w="100"/>
              <w:bottom w:type="dxa" w:w="80"/>
              <w:right w:type="dxa" w:w="100"/>
            </w:tcMar>
            <w:vAlign w:val="center"/>
          </w:tcPr>
          <w:p>
            <w:pPr>
              <w:jc w:val="left"/>
            </w:pPr>
            <w:r>
              <w:rPr>
                <w:b w:val="false"/>
                <w:bCs w:val="false"/>
                <w:sz w:val="19"/>
                <w:szCs w:val="19"/>
              </w:rPr>
              <w:t xml:space="preserve">Campagne d'évaluation</w:t>
            </w:r>
          </w:p>
        </w:tc>
        <w:tc>
          <w:tcPr>
            <w:tcW w:type="dxa" w:w="6000"/>
            <w:shd w:fill="F2F2F2" w:val="clear"/>
            <w:tcMar>
              <w:top w:type="dxa" w:w="80"/>
              <w:left w:type="dxa" w:w="100"/>
              <w:bottom w:type="dxa" w:w="80"/>
              <w:right w:type="dxa" w:w="100"/>
            </w:tcMar>
            <w:vAlign w:val="center"/>
          </w:tcPr>
          <w:p>
            <w:pPr>
              <w:jc w:val="left"/>
            </w:pPr>
            <w:r>
              <w:rPr>
                <w:b w:val="false"/>
                <w:bCs w:val="false"/>
                <w:sz w:val="19"/>
                <w:szCs w:val="19"/>
              </w:rPr>
              <w:t xml:space="preserve">Cycle annuel complet d'évaluation du personnel, du lancement à l'archivage</w:t>
            </w:r>
          </w:p>
        </w:tc>
      </w:tr>
      <w:tr>
        <w:tc>
          <w:tcPr>
            <w:tcW w:type="dxa" w:w="2600"/>
            <w:shd w:fill="FFFFFF" w:val="clear"/>
            <w:tcMar>
              <w:top w:type="dxa" w:w="80"/>
              <w:left w:type="dxa" w:w="100"/>
              <w:bottom w:type="dxa" w:w="80"/>
              <w:right w:type="dxa" w:w="100"/>
            </w:tcMar>
            <w:vAlign w:val="center"/>
          </w:tcPr>
          <w:p>
            <w:pPr>
              <w:jc w:val="left"/>
            </w:pPr>
            <w:r>
              <w:rPr>
                <w:b w:val="false"/>
                <w:bCs w:val="false"/>
                <w:sz w:val="19"/>
                <w:szCs w:val="19"/>
              </w:rPr>
              <w:t xml:space="preserve">Fiche d'évaluation</w:t>
            </w:r>
          </w:p>
        </w:tc>
        <w:tc>
          <w:tcPr>
            <w:tcW w:type="dxa" w:w="6000"/>
            <w:shd w:fill="FFFFFF" w:val="clear"/>
            <w:tcMar>
              <w:top w:type="dxa" w:w="80"/>
              <w:left w:type="dxa" w:w="100"/>
              <w:bottom w:type="dxa" w:w="80"/>
              <w:right w:type="dxa" w:w="100"/>
            </w:tcMar>
            <w:vAlign w:val="center"/>
          </w:tcPr>
          <w:p>
            <w:pPr>
              <w:jc w:val="left"/>
            </w:pPr>
            <w:r>
              <w:rPr>
                <w:b w:val="false"/>
                <w:bCs w:val="false"/>
                <w:sz w:val="19"/>
                <w:szCs w:val="19"/>
              </w:rPr>
              <w:t xml:space="preserve">Document individuel enregistrant la notation, les commentaires, le bilan et les objectifs d'un agent pour une campagne donnée</w:t>
            </w:r>
          </w:p>
        </w:tc>
      </w:tr>
      <w:tr>
        <w:tc>
          <w:tcPr>
            <w:tcW w:type="dxa" w:w="2600"/>
            <w:shd w:fill="F2F2F2" w:val="clear"/>
            <w:tcMar>
              <w:top w:type="dxa" w:w="80"/>
              <w:left w:type="dxa" w:w="100"/>
              <w:bottom w:type="dxa" w:w="80"/>
              <w:right w:type="dxa" w:w="100"/>
            </w:tcMar>
            <w:vAlign w:val="center"/>
          </w:tcPr>
          <w:p>
            <w:pPr>
              <w:jc w:val="left"/>
            </w:pPr>
            <w:r>
              <w:rPr>
                <w:b w:val="false"/>
                <w:bCs w:val="false"/>
                <w:sz w:val="19"/>
                <w:szCs w:val="19"/>
              </w:rPr>
              <w:t xml:space="preserve">Tableau de synthèse</w:t>
            </w:r>
          </w:p>
        </w:tc>
        <w:tc>
          <w:tcPr>
            <w:tcW w:type="dxa" w:w="6000"/>
            <w:shd w:fill="F2F2F2" w:val="clear"/>
            <w:tcMar>
              <w:top w:type="dxa" w:w="80"/>
              <w:left w:type="dxa" w:w="100"/>
              <w:bottom w:type="dxa" w:w="80"/>
              <w:right w:type="dxa" w:w="100"/>
            </w:tcMar>
            <w:vAlign w:val="center"/>
          </w:tcPr>
          <w:p>
            <w:pPr>
              <w:jc w:val="left"/>
            </w:pPr>
            <w:r>
              <w:rPr>
                <w:b w:val="false"/>
                <w:bCs w:val="false"/>
                <w:sz w:val="19"/>
                <w:szCs w:val="19"/>
              </w:rPr>
              <w:t xml:space="preserve">Document consolidant, par structure, les résultats des fiches d'évaluation signées</w:t>
            </w:r>
          </w:p>
        </w:tc>
      </w:tr>
    </w:tbl>
    <w:p>
      <w:pPr>
        <w:spacing w:before="600"/>
      </w:pPr>
      <w:r>
        <w:rPr>
          <w:i/>
          <w:iCs/>
          <w:color w:val="2E5C8A"/>
          <w:sz w:val="18"/>
          <w:szCs w:val="18"/>
        </w:rPr>
        <w:t xml:space="preserve">Fin du document — Cahier des charges fonctionnel « Gestion des Évaluations du Personnel » — Plateforme NiidPro — DstComputing</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DstComputing — NiidPro SIRH — Module Gestion des Évaluations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50" w:before="300"/>
    </w:pPr>
    <w:rPr>
      <w:rFonts w:ascii="Calibri" w:cs="Calibri" w:eastAsia="Calibri" w:hAnsi="Calibri"/>
      <w:b/>
      <w:bCs/>
      <w:color w:val="2E5C8A"/>
      <w:sz w:val="25"/>
      <w:szCs w:val="25"/>
    </w:rPr>
  </w:style>
  <w:style w:type="paragraph" w:styleId="Heading3">
    <w:name w:val="Heading 3"/>
    <w:basedOn w:val="Normal"/>
    <w:next w:val="Normal"/>
    <w:qFormat/>
    <w:pPr>
      <w:spacing w:after="100" w:before="200"/>
    </w:pPr>
    <w:rPr>
      <w:rFonts w:ascii="Calibri" w:cs="Calibri" w:eastAsia="Calibri" w:hAnsi="Calibri"/>
      <w:b/>
      <w:bCs/>
      <w:i/>
      <w:i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2026-08-13T11:43:54.967Z</dcterms:created>
  <dcterms:modified xsi:type="dcterms:W3CDTF">2026-08-13T11:43:54.968Z</dcterms:modified>
</cp:coreProperties>
</file>

<file path=docProps/custom.xml><?xml version="1.0" encoding="utf-8"?>
<Properties xmlns="http://schemas.openxmlformats.org/officeDocument/2006/custom-properties" xmlns:vt="http://schemas.openxmlformats.org/officeDocument/2006/docPropsVTypes"/>
</file>