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randperm(n)   //creates from 1 to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randperm(n,1)  //get 1 item form the random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[rows, cols] = size(matrix)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funcHandle = @sin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sinA=funcHandle(A);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= input(prompt);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 3 1 ] &lt;= [2 1 1]  = [1 0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~, &amp; , |  are also element-wise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kind of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syntax--grammer,spelling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semantic--logic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incremental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code tracing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 debugger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of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O(h)  </w:t>
        <w:tab/>
        <w:t xml:space="preserve">linear</w:t>
        <w:tab/>
        <w:tab/>
        <w:t xml:space="preserve">halve step size, halve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O(h^2)</w:t>
        <w:tab/>
        <w:t xml:space="preserve">quadratic</w:t>
        <w:tab/>
        <w:t xml:space="preserve">halve step size, error is reduced by a factor of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O(h^3)</w:t>
        <w:tab/>
        <w:t xml:space="preserve">cubic</w:t>
        <w:tab/>
        <w:tab/>
        <w:t xml:space="preserve">halve step size, error is reduced by a factor of 8\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Newton’s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143000" cy="4667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Simpson's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91125" cy="476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