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4E79"/>
          <w:sz w:val="32"/>
        </w:rPr>
        <w:t>Modèle réduit d'enveloppe thermique — 5 features physiques</w:t>
      </w:r>
    </w:p>
    <w:p>
      <w:pPr>
        <w:spacing w:after="80"/>
      </w:pPr>
      <w:r>
        <w:rPr>
          <w:i w:val="0"/>
        </w:rPr>
        <w:t>Plutôt que d'injecter dans le modèle une quarantaine d'attributs bruts issus de ResStock (catégories propres au parc américain, comme « Wood Stud R-15 » ou les zones climatiques ASHRAE), on les agrège en cinq grandeurs physiques universelles. Cette approche présente quatre avantages : les grandeurs obtenues sont transférables à des données réelles (notamment françaises), où l'on ne disposera jamais des mêmes catégories ; elles sont directement interprétables sur le plan thermique ; elles rendent le modèle plus robuste en réduisant le nombre de variables corrélées et le risque de sur-apprentissage ; enfin, elles constituent précisément les entrées d'un modèle réduit de type RC (résistance-capacité). Les cinq features décrivent les trois déperditions, les apports solaires, l'inertie et la forme du bâtiment.</w:t>
      </w:r>
    </w:p>
    <w:p>
      <w:pPr>
        <w:spacing w:before="160" w:after="60"/>
      </w:pPr>
      <w:r>
        <w:rPr>
          <w:b/>
          <w:color w:val="1F4E79"/>
          <w:sz w:val="25"/>
        </w:rPr>
        <w:t>1. UA — Coefficient de déperdition par transmission (W/K)</w:t>
      </w:r>
    </w:p>
    <w:p>
      <w:pPr>
        <w:spacing w:after="80"/>
      </w:pPr>
      <w:r>
        <w:rPr>
          <w:i w:val="0"/>
        </w:rPr>
        <w:t>Le UA représente la quantité de chaleur qui traverse les parois de l'enveloppe — murs, toiture, plancher, fenêtres et portes — pour chaque degré d'écart de température entre l'intérieur et l'extérieur. Chaque paroi oppose une résistance thermique R au passage de la chaleur ; son inverse U = 1/R est la conductance surfacique. En multipliant la conductance de chaque paroi par sa surface, puis en additionnant l'ensemble (les parois sont des chemins de fuite en parallèle, ce qui autorise la somme), on obtient le coefficient global. Plus le UA est élevé, plus le bâtiment laisse fuir la chaleur : c'est la grandeur qui pèse le plus sur les besoins de chauffage. On ne retient que les parois donnant réellement sur l'extérieur, et la résistance de la partie haute est choisie selon la présence ou non de combles.</w:t>
      </w:r>
    </w:p>
    <w:p>
      <w:pPr>
        <w:spacing w:after="40"/>
      </w:pPr>
      <w:r>
        <w:rPr>
          <w:b/>
        </w:rPr>
        <w:t xml:space="preserve">Formule : </w:t>
      </w:r>
      <w:r>
        <w:t>UA = A_mur / R_mur + A_toit / R_toit + A_sol / R_sol + U_fenêtre × A_fenêtre</w:t>
      </w:r>
    </w:p>
    <w:p>
      <w:pPr>
        <w:spacing w:after="40"/>
      </w:pPr>
      <w:r>
        <w:rPr>
          <w:b/>
        </w:rPr>
        <w:t xml:space="preserve">Attributs sources : </w:t>
      </w:r>
      <w:r>
        <w:t>in.insulation_wall, in.insulation_roof, in.insulation_floor et in.window_ufactor pour les résistances et conductances ; les surfaces proviennent de out.params (wall_area_above_grade_exterior, roof_area, floor_area_lighting, window_area) ; la toiture est routée selon in.geometry_attic_type.</w:t>
      </w:r>
    </w:p>
    <w:p>
      <w:pPr>
        <w:spacing w:before="160" w:after="60"/>
      </w:pPr>
      <w:r>
        <w:rPr>
          <w:b/>
          <w:color w:val="1F4E79"/>
          <w:sz w:val="25"/>
        </w:rPr>
        <w:t>2. H_ve — Coefficient de déperdition par renouvellement d'air (W/K)</w:t>
      </w:r>
    </w:p>
    <w:p>
      <w:pPr>
        <w:spacing w:after="80"/>
      </w:pPr>
      <w:r>
        <w:rPr>
          <w:i w:val="0"/>
        </w:rPr>
        <w:t>Un bâtiment n'est jamais parfaitement étanche : de l'air extérieur s'infiltre par les défauts d'étanchéité et par la ventilation, tandis que l'air intérieur, déjà réchauffé, s'échappe. Il faut donc dépenser de l'énergie pour réchauffer en continu cet air neuf entrant. Le H_ve quantifie cette perte : elle est proportionnelle au débit d'air renouvelé et au volume chauffé. La constante 0,34 correspond à la chaleur qu'emporte un mètre cube d'air par degré. Le taux de renouvellement réel n'est pas mesuré directement : on le déduit de la perméabilité à l'air testée sous pression (ACH50) en la divisant par un facteur d'environ 20, et le volume chauffé est estimé à partir de la surface de plancher et d'une hauteur sous plafond de 2,5 mètres.</w:t>
      </w:r>
    </w:p>
    <w:p>
      <w:pPr>
        <w:spacing w:after="40"/>
      </w:pPr>
      <w:r>
        <w:rPr>
          <w:b/>
        </w:rPr>
        <w:t xml:space="preserve">Formule : </w:t>
      </w:r>
      <w:r>
        <w:t>H_ve = 0,34 × n × V, avec n = ACH50 / 20 et V = surface de plancher × 2,5 m</w:t>
      </w:r>
    </w:p>
    <w:p>
      <w:pPr>
        <w:spacing w:after="40"/>
      </w:pPr>
      <w:r>
        <w:rPr>
          <w:b/>
        </w:rPr>
        <w:t xml:space="preserve">Attributs sources : </w:t>
      </w:r>
      <w:r>
        <w:t>in.air_leakage_to_outside_ach50 pour la perméabilité ; out.params.floor_area_lighting pour le volume.</w:t>
      </w:r>
    </w:p>
    <w:p>
      <w:pPr>
        <w:spacing w:before="160" w:after="60"/>
      </w:pPr>
      <w:r>
        <w:rPr>
          <w:b/>
          <w:color w:val="1F4E79"/>
          <w:sz w:val="25"/>
        </w:rPr>
        <w:t>3. C — Inertie thermique (kJ/K)</w:t>
      </w:r>
    </w:p>
    <w:p>
      <w:pPr>
        <w:spacing w:after="80"/>
      </w:pPr>
      <w:r>
        <w:rPr>
          <w:i w:val="0"/>
        </w:rPr>
        <w:t>L'inertie thermique mesure la capacité du bâtiment à emmagasiner de la chaleur dans la masse de ses parois : murs, planchers, cloisons. Un bâtiment lourd, en béton ou en brique, se réchauffe et se refroidit lentement ; il amortit les variations de température et retarde les pics, ce qui améliore le confort et lisse les besoins. Un bâtiment léger, à ossature bois, suit au contraire la météo de façon beaucoup plus directe. Physiquement, cette capacité vaut, pour chaque couche de matériau, sa densité multipliée par son épaisseur, sa chaleur spécifique et sa surface. Ces propriétés de masse n'étant présentes ni dans les features ni dans le guide d'encodage, on estime l'inertie par la méthode normalisée ISO 13790, qui associe à chaque classe de construction une capacité par mètre carré de plancher et ne compte que la masse réellement en échange avec l'air intérieur.</w:t>
      </w:r>
    </w:p>
    <w:p>
      <w:pPr>
        <w:spacing w:after="40"/>
      </w:pPr>
      <w:r>
        <w:rPr>
          <w:b/>
        </w:rPr>
        <w:t xml:space="preserve">Formule : </w:t>
      </w:r>
      <w:r>
        <w:t>C = capacité de classe × surface de plancher, avec les classes ISO 13790 (léger 110, moyen 165, lourd 260, très lourd 370 kJ/m²·K) ; la classe est déduite du matériau du mur (bois → léger, acier → moyen, brique → lourd, béton → très lourd).</w:t>
      </w:r>
    </w:p>
    <w:p>
      <w:pPr>
        <w:spacing w:after="40"/>
      </w:pPr>
      <w:r>
        <w:rPr>
          <w:b/>
        </w:rPr>
        <w:t xml:space="preserve">Attributs sources : </w:t>
      </w:r>
      <w:r>
        <w:t>in.geometry_wall_type et in.wall_finish_brick pour la classe ; out.params.floor_area_lighting pour la surface.</w:t>
      </w:r>
    </w:p>
    <w:p>
      <w:pPr>
        <w:spacing w:before="160" w:after="60"/>
      </w:pPr>
      <w:r>
        <w:rPr>
          <w:b/>
          <w:color w:val="1F4E79"/>
          <w:sz w:val="25"/>
        </w:rPr>
        <w:t>4. A_solaire — Surface solaire équivalente (m²)</w:t>
      </w:r>
    </w:p>
    <w:p>
      <w:pPr>
        <w:spacing w:after="80"/>
      </w:pPr>
      <w:r>
        <w:rPr>
          <w:i w:val="0"/>
        </w:rPr>
        <w:t>Les apports solaires transmis par les fenêtres chauffent gratuitement le logement et réduisent d'autant les besoins de chauffage en hiver. Toutes les fenêtres ne laissent pas passer la même fraction du rayonnement : le facteur solaire (SHGC) exprime cette proportion, d'autant plus faible que le vitrage est performant. La surface solaire équivalente correspond à la surface d'un capteur parfait qui recevrait la même énergie ; elle vaut la surface vitrée multipliée par le facteur solaire et par un facteur de cadre d'environ 0,9, puis pondérée par l'orientation de chaque façade, car une fenêtre au sud capte bien plus qu'une fenêtre au nord. L'orientation est reconstituée à partir de l'azimut du bâtiment et de la répartition des fenêtres sur les quatre façades.</w:t>
      </w:r>
    </w:p>
    <w:p>
      <w:pPr>
        <w:spacing w:after="40"/>
      </w:pPr>
      <w:r>
        <w:rPr>
          <w:b/>
        </w:rPr>
        <w:t xml:space="preserve">Formule : </w:t>
      </w:r>
      <w:r>
        <w:t>A_solaire = SHGC × 0,9 × Σ (A_façade × poids d'orientation), avec les poids Sud 1,0 ; Est et Ouest 0,6 ; Nord 0,3.</w:t>
      </w:r>
    </w:p>
    <w:p>
      <w:pPr>
        <w:spacing w:after="40"/>
      </w:pPr>
      <w:r>
        <w:rPr>
          <w:b/>
        </w:rPr>
        <w:t xml:space="preserve">Attributs sources : </w:t>
      </w:r>
      <w:r>
        <w:t>in.window_shgc pour le facteur solaire ; in.orientation_sin et in.orientation_cos pour l'azimut ; in.window_areas pour la répartition par façade ; out.params.window_area pour la surface vitrée.</w:t>
      </w:r>
    </w:p>
    <w:p>
      <w:pPr>
        <w:spacing w:before="160" w:after="60"/>
      </w:pPr>
      <w:r>
        <w:rPr>
          <w:b/>
          <w:color w:val="1F4E79"/>
          <w:sz w:val="25"/>
        </w:rPr>
        <w:t>5. Compacité — Coefficient de forme (m⁻¹)</w:t>
      </w:r>
    </w:p>
    <w:p>
      <w:pPr>
        <w:spacing w:after="80"/>
      </w:pPr>
      <w:r>
        <w:rPr>
          <w:i w:val="0"/>
        </w:rPr>
        <w:t>À volume chauffé égal, un bâtiment ramassé, proche du cube, présente beaucoup moins de surface en contact avec l'extérieur qu'un bâtiment étalé ou tout en longueur ; il perd donc moins de chaleur. La compacité rapporte la surface déperditive totale — l'ensemble des parois donnant sur l'extérieur — au volume chauffé. Une valeur faible traduit une forme économe, typique des immeubles et des grands bâtiments ; une valeur élevée signale une forme dispendieuse, comme une petite maison isolée ou un volume très allongé. Cette grandeur complète les déperditions en résumant, en un seul nombre, l'effet de la géométrie sur les pertes.</w:t>
      </w:r>
    </w:p>
    <w:p>
      <w:pPr>
        <w:spacing w:after="40"/>
      </w:pPr>
      <w:r>
        <w:rPr>
          <w:b/>
        </w:rPr>
        <w:t xml:space="preserve">Formule : </w:t>
      </w:r>
      <w:r>
        <w:t>compacité = surface déperditive / volume</w:t>
      </w:r>
    </w:p>
    <w:p>
      <w:pPr>
        <w:spacing w:after="40"/>
      </w:pPr>
      <w:r>
        <w:rPr>
          <w:b/>
        </w:rPr>
        <w:t xml:space="preserve">Attributs sources : </w:t>
      </w:r>
      <w:r>
        <w:t>les surfaces out.params (murs, toit, fenêtres, portes) pour le numérateur ; le volume estimé (surface de plancher × 2,5 m) pour le dénominateur.</w:t>
      </w:r>
    </w:p>
    <w:p>
      <w:pPr>
        <w:spacing w:after="80"/>
      </w:pPr>
      <w:r>
        <w:rPr>
          <w:i/>
        </w:rPr>
        <w:t>En synthèse, ces cinq nombres — trois déperditions (UA, H_ve), les apports solaires (A_solaire), l'inertie (C) et la forme (compacité) — résument l'enveloppe et la géométrie du bâtiment. Ils sont calculables sur l'ensemble des 550 000 bâtiments et directement exploitables par un modèle RC ou par un modèle d'apprentissage allégé.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