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SERBIS manuscript: changes to apply</w:t>
      </w:r>
    </w:p>
    <w:p>
      <w:r>
        <w:rPr>
          <w:sz w:val="22"/>
        </w:rPr>
        <w:t xml:space="preserve">Source: Manuscript_improved.docx (docs-paper). Already applied in docs-paper/Manuscript_v2.docx, or copy each row by hand. Use Find (Ctrl+F) on the "Find" text, then replace with the "Replace with" text.</w:t>
      </w:r>
    </w:p>
    <w:p>
      <w:r>
        <w:rPr>
          <w:b/>
          <w:sz w:val="26"/>
        </w:rPr>
        <w:t xml:space="preserve">Part 1. Text changes (find and replace)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rPr>
          <w:tblHeader/>
        </w:trPr>
        <w:tc>
          <w:tcPr>
            <w:tcW w:w="500" w:type="dxa"/>
          </w:tcPr>
          <w:p>
            <w:r>
              <w:rPr>
                <w:b/>
                <w:sz w:val="20"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  <w:sz w:val="20"/>
              </w:rPr>
              <w:t xml:space="preserve">Where</w:t>
            </w:r>
          </w:p>
        </w:tc>
        <w:tc>
          <w:tcPr>
            <w:tcW w:w="3200" w:type="dxa"/>
          </w:tcPr>
          <w:p>
            <w:r>
              <w:rPr>
                <w:b/>
                <w:sz w:val="20"/>
              </w:rPr>
              <w:t xml:space="preserve">Find</w:t>
            </w:r>
          </w:p>
        </w:tc>
        <w:tc>
          <w:tcPr>
            <w:tcW w:w="3460" w:type="dxa"/>
          </w:tcPr>
          <w:p>
            <w:r>
              <w:rPr>
                <w:b/>
                <w:sz w:val="20"/>
              </w:rPr>
              <w:t xml:space="preserve">Replace with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1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1.1.2 Statement of the Problem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seeks to answers the following questions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seeks to answer the following questions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2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1.3 Scope and Limitations (MFA paragraph)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everytime they log in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every time they log in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3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Chapter III, opening paragraph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data gathering instruments, func procedures, and data analysis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data gathering instruments, procedures, and data analysis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4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3.3.3 Role of the Respondents (MDRRMO)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will  rate the administrative panel  (two spaces)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will rate the administrative panel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5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3.3.3 Role of the Respondents (Residents)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16 from San Fabian— will allows the researchers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16 from San Fabian allows the researchers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6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3.5.1 Integration and Data Integrity Testing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recorded in tblrecipients compared with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recorded in tbl_recipients compared with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7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3.5.4 Success Criteria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operational objectives if if: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operational objectives if: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8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3.6.1 item 1, Descriptive Analytics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and serviceid.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and service_id.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9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4.2.2 Mobile Application Interface (the FIRST "Technologies Used" under it; leave the Cloud Database one as is)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Technologies Used: MySQL 8, managed via Railway.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Technologies Used: Flutter, using the Dart language.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10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4.4.4 Security (last part of the authentication sentences)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Administrator accounts are further protected by time-based one-time password (TOTP) multi-factor authentication, so signing in requires both the password and a code from an authenticator application.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Administrator accounts are further protected by multi-factor authentication: after the password, a six-digit one-time code is sent by SMS to the staff member's registered mobile number, and signing in requires both.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11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4.5.1 Figure 14 text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phone number, electronic mail address, account status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phone number, account status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12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4.5.1 Figure 15 text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with a first name, last name, and electronic mail address, edit those details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with a first name, last name, username, and mobile number (where the sign-in code is sent), edit those details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13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4.5.2 Figure 19 text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a barangay selection, an electronic mail address, and a password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a barangay selection, and a password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14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4.6.1 Context Diagram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establishes the system boundary y isolating these interactions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establishes the system boundary by isolating these interactions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15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4.6.3 ERD, first paragraph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The schema consists of twenty-four application tables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The schema consists of twenty-five application tables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16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4.6.3 ERD, "Service Configuration" paragraph (add at the end)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...rather than by a foreign key to tbl_services.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...rather than by a foreign key to tbl_services. tbl_emergency_hotlines stores the emergency hotline directory that the mobile application lists in its Information Center.</w:t>
            </w:r>
          </w:p>
        </w:tc>
      </w:tr>
    </w:tbl>
    <w:p>
      <w:r>
        <w:rPr>
          <w:sz w:val="22"/>
        </w:rPr>
        <w:t xml:space="preserve"/>
      </w:r>
    </w:p>
    <w:p>
      <w:r>
        <w:rPr>
          <w:b/>
          <w:sz w:val="26"/>
        </w:rPr>
        <w:t xml:space="preserve">Part 2. Changes inside images (cannot be copied as text)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rPr>
          <w:tblHeader/>
        </w:trPr>
        <w:tc>
          <w:tcPr>
            <w:tcW w:w="500" w:type="dxa"/>
          </w:tcPr>
          <w:p>
            <w:r>
              <w:rPr>
                <w:b/>
                <w:sz w:val="20"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  <w:sz w:val="20"/>
              </w:rPr>
              <w:t xml:space="preserve">Figure</w:t>
            </w:r>
          </w:p>
        </w:tc>
        <w:tc>
          <w:tcPr>
            <w:tcW w:w="3200" w:type="dxa"/>
          </w:tcPr>
          <w:p>
            <w:r>
              <w:rPr>
                <w:b/>
                <w:sz w:val="20"/>
              </w:rPr>
              <w:t xml:space="preserve">Problem</w:t>
            </w:r>
          </w:p>
        </w:tc>
        <w:tc>
          <w:tcPr>
            <w:tcW w:w="3460" w:type="dxa"/>
          </w:tcPr>
          <w:p>
            <w:r>
              <w:rPr>
                <w:b/>
                <w:sz w:val="20"/>
              </w:rPr>
              <w:t xml:space="preserve">Fix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A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Figure 1 (IPO diagram)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Input box says "16 transport requests daily"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Use the same figure as Chapter I (20) once the team confirms which is right.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B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Figure 27 (profile screenshot)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Shows an email address under the name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Retake the screenshot from the current app (phone number only).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C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Figure 29 (resident DFD)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"code by SMS (e-mail on fallback)" and "e-mail address" as an input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Remove the e-mail fallback and the e-mail input. Registration is phone number only, and there is no email fallback.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D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Figure 30 (admin DFD)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Mentions "e-mail address" in the credentials flow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Staff sign in with username + password + SMS code. Remove e-mail.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E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Accuracy formula image (3.6.2)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Denominator reads "Total Number of Attributes Tested"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Change to "Total Number of Outputs Tested" to match the text under it.</w:t>
            </w:r>
          </w:p>
        </w:tc>
      </w:tr>
    </w:tbl>
    <w:p>
      <w:r>
        <w:rPr>
          <w:sz w:val="22"/>
        </w:rPr>
        <w:t xml:space="preserve"/>
      </w:r>
    </w:p>
    <w:p>
      <w:r>
        <w:rPr>
          <w:b/>
          <w:sz w:val="26"/>
        </w:rPr>
        <w:t xml:space="preserve">Part 3. Needs a decision or a source (not changed)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rPr>
          <w:tblHeader/>
        </w:trPr>
        <w:tc>
          <w:tcPr>
            <w:tcW w:w="500" w:type="dxa"/>
          </w:tcPr>
          <w:p>
            <w:r>
              <w:rPr>
                <w:b/>
                <w:sz w:val="20"/>
              </w:rPr>
              <w:t xml:space="preserve">#</w:t>
            </w:r>
          </w:p>
        </w:tc>
        <w:tc>
          <w:tcPr>
            <w:tcW w:w="2200" w:type="dxa"/>
          </w:tcPr>
          <w:p>
            <w:r>
              <w:rPr>
                <w:b/>
                <w:sz w:val="20"/>
              </w:rPr>
              <w:t xml:space="preserve">Where</w:t>
            </w:r>
          </w:p>
        </w:tc>
        <w:tc>
          <w:tcPr>
            <w:tcW w:w="3200" w:type="dxa"/>
          </w:tcPr>
          <w:p>
            <w:r>
              <w:rPr>
                <w:b/>
                <w:sz w:val="20"/>
              </w:rPr>
              <w:t xml:space="preserve">Issue</w:t>
            </w:r>
          </w:p>
        </w:tc>
        <w:tc>
          <w:tcPr>
            <w:tcW w:w="3460" w:type="dxa"/>
          </w:tcPr>
          <w:p>
            <w:r>
              <w:rPr>
                <w:b/>
                <w:sz w:val="20"/>
              </w:rPr>
              <w:t xml:space="preserve">What is needed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1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3.4 Data Gathering Instruments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"[cite the study]"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Insert the citation of the prior capstone the questionnaire was adapted from.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2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3.5.1 Integration testing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"[state the time window]"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State the on-time delivery window for the 90% SMS target, e.g. "within 1 minute of sending". Team decides.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3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1.1, 1.1.2 vs 3.1 Input paragraph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Chapter I says an average of 20 service requests; Input says 16 transport requests daily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Confirm the real figure with the MDRRMO and use one number everywhere (also in Figure 1).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4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4.3.5 Testing Phase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"more than 1,380 tests"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Still true. Raise to the current count if the team wants (the suite is now above 1,600; confirm by running php artisan test).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5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References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Several entries are unverified (e.g. Hwang &amp; Salvendy is, I believe, 2010, CACM 53(5), not 2021; also Al-Zahrani 2022, Chavula &amp; Kayusi 2025, Goh 2023, Fonseca 2025, Trogrlic DOI). Nalendra and Nielsen DOIs have "doi.org" pasted on the end; Richey &amp; Klein URL has "www.perlego.com" pasted on the end.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Check each against the real source before submitting. Remove the stray "doi.org" / "www.perlego.com" text.</w:t>
            </w:r>
          </w:p>
        </w:tc>
      </w:tr>
      <w:tr>
        <w:tc>
          <w:tcPr>
            <w:tcW w:w="500" w:type="dxa"/>
          </w:tcPr>
          <w:p>
            <w:r>
              <w:rPr>
                <w:sz w:val="20"/>
              </w:rPr>
              <w:t xml:space="preserve">6</w:t>
            </w:r>
          </w:p>
        </w:tc>
        <w:tc>
          <w:tcPr>
            <w:tcW w:w="2200" w:type="dxa"/>
          </w:tcPr>
          <w:p>
            <w:r>
              <w:rPr>
                <w:sz w:val="20"/>
              </w:rPr>
              <w:t xml:space="preserve">4.6.3 table count</w:t>
            </w:r>
          </w:p>
        </w:tc>
        <w:tc>
          <w:tcPr>
            <w:tcW w:w="3200" w:type="dxa"/>
          </w:tcPr>
          <w:p>
            <w:r>
              <w:rPr>
                <w:sz w:val="20"/>
              </w:rPr>
              <w:t xml:space="preserve">Twenty-five comes from the migrations, not the live database.</w:t>
            </w:r>
          </w:p>
        </w:tc>
        <w:tc>
          <w:tcPr>
            <w:tcW w:w="3460" w:type="dxa"/>
          </w:tcPr>
          <w:p>
            <w:r>
              <w:rPr>
                <w:sz w:val="20"/>
              </w:rPr>
              <w:t xml:space="preserve">Confirm against the live schema before finalising.</w:t>
            </w:r>
          </w:p>
        </w:tc>
      </w:tr>
    </w:tbl>
    <w:sectPr>
      <w:pgSz w:w="12240" w:h="15840"/>
      <w:pgMar w:top="1000" w:right="1000" w:bottom="1000" w:left="1000"/>
    </w:sectPr>
  </w:body>
</w:document>
</file>