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Desa untuk Keputusan</w:t>
      </w:r>
    </w:p>
    <w:p>
      <w:pPr>
        <w:jc w:val="center"/>
      </w:pPr>
      <w:r>
        <w:rPr>
          <w:b/>
          <w:sz w:val="20"/>
        </w:rPr>
        <w:t>Data Desa</w:t>
      </w:r>
    </w:p>
    <w:p>
      <w:r>
        <w:t>Data membantu desa menetapkan prioritas, mengukur hasil, dan menjelaskan alasan kebijakan kepada masyarakat.</w:t>
      </w:r>
    </w:p>
    <w:p>
      <w:r>
        <w:rPr>
          <w:b/>
        </w:rPr>
        <w:t>Pokok Isi</w:t>
      </w:r>
    </w:p>
    <w:p>
      <w:pPr>
        <w:pStyle w:val="ListBullet"/>
      </w:pPr>
      <w:r>
        <w:t>Data relevan</w:t>
      </w:r>
    </w:p>
    <w:p>
      <w:pPr>
        <w:pStyle w:val="ListBullet"/>
      </w:pPr>
      <w:r>
        <w:t>Indikator sederhana</w:t>
      </w:r>
    </w:p>
    <w:p>
      <w:pPr>
        <w:pStyle w:val="ListBullet"/>
      </w:pPr>
      <w:r>
        <w:t>Keputusan berbasis bukti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