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Etika Digital Warga Desa</w:t>
      </w:r>
    </w:p>
    <w:p>
      <w:pPr>
        <w:jc w:val="center"/>
      </w:pPr>
      <w:r>
        <w:rPr>
          <w:rFonts w:ascii="Arial" w:hAnsi="Arial"/>
          <w:sz w:val="21"/>
        </w:rPr>
        <w:t>Literasi Digital</w:t>
      </w:r>
    </w:p>
    <w:p>
      <w:pPr>
        <w:spacing w:after="160"/>
      </w:pPr>
      <w:r>
        <w:t>Pedoman interaksi digital yang menghormati privasi, perbedaan pendapat, dan kepentingan bersama.</w:t>
      </w:r>
    </w:p>
    <w:p>
      <w:pPr>
        <w:pStyle w:val="ListBullet"/>
      </w:pPr>
      <w:r>
        <w:t>Jaga privasi</w:t>
      </w:r>
    </w:p>
    <w:p>
      <w:pPr>
        <w:pStyle w:val="ListBullet"/>
      </w:pPr>
      <w:r>
        <w:t>Hormati orang lain</w:t>
      </w:r>
    </w:p>
    <w:p>
      <w:pPr>
        <w:pStyle w:val="ListBullet"/>
      </w:pPr>
      <w:r>
        <w:t>Tanggung jawab saat membagikan informasi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