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Infografik Data Desa</w:t>
      </w:r>
    </w:p>
    <w:p>
      <w:pPr>
        <w:jc w:val="center"/>
      </w:pPr>
      <w:r>
        <w:rPr>
          <w:rFonts w:ascii="Arial" w:hAnsi="Arial"/>
          <w:sz w:val="21"/>
        </w:rPr>
        <w:t>Data Desa</w:t>
      </w:r>
    </w:p>
    <w:p>
      <w:pPr>
        <w:spacing w:after="160"/>
      </w:pPr>
      <w:r>
        <w:t>Prinsip membuat infografik sederhana yang menonjolkan data penting tanpa membuat pembaca kewalahan.</w:t>
      </w:r>
    </w:p>
    <w:p>
      <w:pPr>
        <w:pStyle w:val="ListBullet"/>
      </w:pPr>
      <w:r>
        <w:t>Satu pesan utama</w:t>
      </w:r>
    </w:p>
    <w:p>
      <w:pPr>
        <w:pStyle w:val="ListBullet"/>
      </w:pPr>
      <w:r>
        <w:t>Angka yang terbaca</w:t>
      </w:r>
    </w:p>
    <w:p>
      <w:pPr>
        <w:pStyle w:val="ListBullet"/>
      </w:pPr>
      <w:r>
        <w:t>Warna secukupnya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