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Infografik Data Desa</w:t>
      </w:r>
    </w:p>
    <w:p>
      <w:pPr>
        <w:jc w:val="center"/>
      </w:pPr>
      <w:r>
        <w:rPr>
          <w:b/>
          <w:sz w:val="20"/>
        </w:rPr>
        <w:t>Data Desa</w:t>
      </w:r>
    </w:p>
    <w:p>
      <w:r>
        <w:t>Infografik membantu menyederhanakan data desa dengan menonjolkan angka utama, konteks, dan perbandingan yang mudah dibaca.</w:t>
      </w:r>
    </w:p>
    <w:p>
      <w:r>
        <w:rPr>
          <w:b/>
        </w:rPr>
        <w:t>Pokok Isi</w:t>
      </w:r>
    </w:p>
    <w:p>
      <w:pPr>
        <w:pStyle w:val="ListBullet"/>
      </w:pPr>
      <w:r>
        <w:t>Satu pesan utama</w:t>
      </w:r>
    </w:p>
    <w:p>
      <w:pPr>
        <w:pStyle w:val="ListBullet"/>
      </w:pPr>
      <w:r>
        <w:t>Angka yang terbaca</w:t>
      </w:r>
    </w:p>
    <w:p>
      <w:pPr>
        <w:pStyle w:val="ListBullet"/>
      </w:pPr>
      <w:r>
        <w:t>Warna secukupnya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