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Keamanan Akun untuk Warga</w:t>
      </w:r>
    </w:p>
    <w:p>
      <w:pPr>
        <w:jc w:val="center"/>
      </w:pPr>
      <w:r>
        <w:rPr>
          <w:rFonts w:ascii="Arial" w:hAnsi="Arial"/>
          <w:sz w:val="21"/>
        </w:rPr>
        <w:t>Keamanan Digital</w:t>
      </w:r>
    </w:p>
    <w:p>
      <w:pPr>
        <w:spacing w:after="160"/>
      </w:pPr>
      <w:r>
        <w:t>Langkah sederhana melindungi akun, perangkat, dan data pribadi dari penyalahgunaan.</w:t>
      </w:r>
    </w:p>
    <w:p>
      <w:pPr>
        <w:pStyle w:val="ListBullet"/>
      </w:pPr>
      <w:r>
        <w:t>Kata sandi kuat</w:t>
      </w:r>
    </w:p>
    <w:p>
      <w:pPr>
        <w:pStyle w:val="ListBullet"/>
      </w:pPr>
      <w:r>
        <w:t>Verifikasi dua langkah</w:t>
      </w:r>
    </w:p>
    <w:p>
      <w:pPr>
        <w:pStyle w:val="ListBullet"/>
      </w:pPr>
      <w:r>
        <w:t>Waspada tautan mencurigakan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