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Kolaborasi Warga dan Pemerintah Desa</w:t>
      </w:r>
    </w:p>
    <w:p>
      <w:pPr>
        <w:jc w:val="center"/>
      </w:pPr>
      <w:r>
        <w:rPr>
          <w:rFonts w:ascii="Arial" w:hAnsi="Arial"/>
          <w:sz w:val="21"/>
        </w:rPr>
        <w:t>Partisipasi</w:t>
      </w:r>
    </w:p>
    <w:p>
      <w:pPr>
        <w:spacing w:after="160"/>
      </w:pPr>
      <w:r>
        <w:t>Cara membangun kerja sama yang sehat antara warga, BPD, pemerintah desa, dan kelompok masyarakat.</w:t>
      </w:r>
    </w:p>
    <w:p>
      <w:pPr>
        <w:pStyle w:val="ListBullet"/>
      </w:pPr>
      <w:r>
        <w:t>Tujuan bersama</w:t>
      </w:r>
    </w:p>
    <w:p>
      <w:pPr>
        <w:pStyle w:val="ListBullet"/>
      </w:pPr>
      <w:r>
        <w:t>Pembagian peran</w:t>
      </w:r>
    </w:p>
    <w:p>
      <w:pPr>
        <w:pStyle w:val="ListBullet"/>
      </w:pPr>
      <w:r>
        <w:t>Evaluasi kolaborasi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