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Layanan Publik yang Ramah</w:t>
      </w:r>
    </w:p>
    <w:p>
      <w:pPr>
        <w:jc w:val="center"/>
      </w:pPr>
      <w:r>
        <w:rPr>
          <w:b/>
          <w:sz w:val="20"/>
        </w:rPr>
        <w:t>Pelayanan Publik</w:t>
      </w:r>
    </w:p>
    <w:p>
      <w:r>
        <w:t>Layanan publik yang baik memberikan informasi persyaratan, waktu pelayanan, jalur pengaduan, dan tindak lanjut yang jelas.</w:t>
      </w:r>
    </w:p>
    <w:p>
      <w:r>
        <w:rPr>
          <w:b/>
        </w:rPr>
        <w:t>Pokok Isi</w:t>
      </w:r>
    </w:p>
    <w:p>
      <w:pPr>
        <w:pStyle w:val="ListBullet"/>
      </w:pPr>
      <w:r>
        <w:t>Informasi layanan</w:t>
      </w:r>
    </w:p>
    <w:p>
      <w:pPr>
        <w:pStyle w:val="ListBullet"/>
      </w:pPr>
      <w:r>
        <w:t>Waktu respons</w:t>
      </w:r>
    </w:p>
    <w:p>
      <w:pPr>
        <w:pStyle w:val="ListBullet"/>
      </w:pPr>
      <w:r>
        <w:t>Pengaduan warga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