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Cerdas Mengenali Hoaks</w:t>
      </w:r>
    </w:p>
    <w:p>
      <w:pPr>
        <w:jc w:val="center"/>
      </w:pPr>
      <w:r>
        <w:rPr>
          <w:rFonts w:ascii="Arial" w:hAnsi="Arial"/>
          <w:sz w:val="21"/>
        </w:rPr>
        <w:t>Literasi Digital</w:t>
      </w:r>
    </w:p>
    <w:p>
      <w:pPr>
        <w:spacing w:after="160"/>
      </w:pPr>
      <w:r>
        <w:t>Panduan singkat memeriksa informasi sebelum dibagikan di grup warga dan media sosial.</w:t>
      </w:r>
    </w:p>
    <w:p>
      <w:pPr>
        <w:pStyle w:val="ListBullet"/>
      </w:pPr>
      <w:r>
        <w:t>Cek sumber</w:t>
      </w:r>
    </w:p>
    <w:p>
      <w:pPr>
        <w:pStyle w:val="ListBullet"/>
      </w:pPr>
      <w:r>
        <w:t>Cek tanggal dan konteks</w:t>
      </w:r>
    </w:p>
    <w:p>
      <w:pPr>
        <w:pStyle w:val="ListBullet"/>
      </w:pPr>
      <w:r>
        <w:t>Bandingkan dengan sumber resmi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