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Media Sosial Desa yang Profesional</w:t>
      </w:r>
    </w:p>
    <w:p>
      <w:pPr>
        <w:jc w:val="center"/>
      </w:pPr>
      <w:r>
        <w:rPr>
          <w:b/>
          <w:sz w:val="20"/>
        </w:rPr>
        <w:t>Komunikasi</w:t>
      </w:r>
    </w:p>
    <w:p>
      <w:r>
        <w:t>Media sosial resmi perlu menggunakan visual konsisten, teks informatif, sumber jelas, dan respons yang tertib.</w:t>
      </w:r>
    </w:p>
    <w:p>
      <w:r>
        <w:rPr>
          <w:b/>
        </w:rPr>
        <w:t>Pokok Isi</w:t>
      </w:r>
    </w:p>
    <w:p>
      <w:pPr>
        <w:pStyle w:val="ListBullet"/>
      </w:pPr>
      <w:r>
        <w:t>Visual konsisten</w:t>
      </w:r>
    </w:p>
    <w:p>
      <w:pPr>
        <w:pStyle w:val="ListBullet"/>
      </w:pPr>
      <w:r>
        <w:t>Teks informatif</w:t>
      </w:r>
    </w:p>
    <w:p>
      <w:pPr>
        <w:pStyle w:val="ListBullet"/>
      </w:pPr>
      <w:r>
        <w:t>Sumber jelas</w:t>
      </w:r>
    </w:p>
    <w:p>
      <w:r>
        <w:rPr>
          <w:i/>
        </w:rPr>
        <w:t>BPD Desa Somagede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