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Monitoring Pembangunan Desa</w:t>
      </w:r>
    </w:p>
    <w:p>
      <w:pPr>
        <w:jc w:val="center"/>
      </w:pPr>
      <w:r>
        <w:rPr>
          <w:rFonts w:ascii="Arial" w:hAnsi="Arial"/>
          <w:sz w:val="21"/>
        </w:rPr>
        <w:t>Pengawasan</w:t>
      </w:r>
    </w:p>
    <w:p>
      <w:pPr>
        <w:spacing w:after="160"/>
      </w:pPr>
      <w:r>
        <w:t>Checklist praktis memantau kegiatan pembangunan agar progres, mutu, dan dokumentasi tetap terjaga.</w:t>
      </w:r>
    </w:p>
    <w:p>
      <w:pPr>
        <w:pStyle w:val="ListBullet"/>
      </w:pPr>
      <w:r>
        <w:t>Cek progres</w:t>
      </w:r>
    </w:p>
    <w:p>
      <w:pPr>
        <w:pStyle w:val="ListBullet"/>
      </w:pPr>
      <w:r>
        <w:t>Dokumentasi lapangan</w:t>
      </w:r>
    </w:p>
    <w:p>
      <w:pPr>
        <w:pStyle w:val="ListBullet"/>
      </w:pPr>
      <w:r>
        <w:t>Catatan tindak lanjut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