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Pedoman Badan Permusyawaratan Desa</w:t>
      </w:r>
    </w:p>
    <w:p>
      <w:pPr>
        <w:jc w:val="center"/>
      </w:pPr>
      <w:r>
        <w:rPr>
          <w:b/>
          <w:sz w:val="20"/>
        </w:rPr>
        <w:t>Permendagri</w:t>
      </w:r>
    </w:p>
    <w:p>
      <w:r>
        <w:t>Rujukan kerja BPD dalam fungsi pembahasan peraturan desa, penyerapan aspirasi, dan pengawasan.</w:t>
      </w:r>
    </w:p>
    <w:p>
      <w:r>
        <w:rPr>
          <w:b/>
        </w:rPr>
        <w:t>Pokok Isi</w:t>
      </w:r>
    </w:p>
    <w:p>
      <w:pPr>
        <w:pStyle w:val="ListBullet"/>
      </w:pPr>
      <w:r>
        <w:t>Fungsi BPD</w:t>
      </w:r>
    </w:p>
    <w:p>
      <w:pPr>
        <w:pStyle w:val="ListBullet"/>
      </w:pPr>
      <w:r>
        <w:t>Musyawarah dan aspirasi</w:t>
      </w:r>
    </w:p>
    <w:p>
      <w:pPr>
        <w:pStyle w:val="ListBullet"/>
      </w:pPr>
      <w:r>
        <w:t>Pengawasan kinerja kepala desa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