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Privasi Data Warga</w:t>
      </w:r>
    </w:p>
    <w:p>
      <w:pPr>
        <w:jc w:val="center"/>
      </w:pPr>
      <w:r>
        <w:rPr>
          <w:rFonts w:ascii="Arial" w:hAnsi="Arial"/>
          <w:sz w:val="21"/>
        </w:rPr>
        <w:t>Keamanan Digital</w:t>
      </w:r>
    </w:p>
    <w:p>
      <w:pPr>
        <w:spacing w:after="160"/>
      </w:pPr>
      <w:r>
        <w:t>Panduan dasar melindungi data identitas dan menghindari penyebaran informasi pribadi secara berlebihan.</w:t>
      </w:r>
    </w:p>
    <w:p>
      <w:pPr>
        <w:pStyle w:val="ListBullet"/>
      </w:pPr>
      <w:r>
        <w:t>Data minimum</w:t>
      </w:r>
    </w:p>
    <w:p>
      <w:pPr>
        <w:pStyle w:val="ListBullet"/>
      </w:pPr>
      <w:r>
        <w:t>Persetujuan penggunaan</w:t>
      </w:r>
    </w:p>
    <w:p>
      <w:pPr>
        <w:pStyle w:val="ListBullet"/>
      </w:pPr>
      <w:r>
        <w:t>Penyimpanan aman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