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Privasi Data Warga</w:t>
      </w:r>
    </w:p>
    <w:p>
      <w:pPr>
        <w:jc w:val="center"/>
      </w:pPr>
      <w:r>
        <w:rPr>
          <w:b/>
          <w:sz w:val="20"/>
        </w:rPr>
        <w:t>Keamanan Digital</w:t>
      </w:r>
    </w:p>
    <w:p>
      <w:r>
        <w:t>Data pribadi perlu dikumpulkan seperlunya, digunakan sesuai tujuan, dan disimpan dengan pengamanan yang memadai.</w:t>
      </w:r>
    </w:p>
    <w:p>
      <w:r>
        <w:rPr>
          <w:b/>
        </w:rPr>
        <w:t>Pokok Isi</w:t>
      </w:r>
    </w:p>
    <w:p>
      <w:pPr>
        <w:pStyle w:val="ListBullet"/>
      </w:pPr>
      <w:r>
        <w:t>Data minimum</w:t>
      </w:r>
    </w:p>
    <w:p>
      <w:pPr>
        <w:pStyle w:val="ListBullet"/>
      </w:pPr>
      <w:r>
        <w:t>Persetujuan penggunaan</w:t>
      </w:r>
    </w:p>
    <w:p>
      <w:pPr>
        <w:pStyle w:val="ListBullet"/>
      </w:pPr>
      <w:r>
        <w:t>Penyimpanan aman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