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Rapat BPD yang Efektif</w:t>
      </w:r>
    </w:p>
    <w:p>
      <w:pPr>
        <w:jc w:val="center"/>
      </w:pPr>
      <w:r>
        <w:rPr>
          <w:rFonts w:ascii="Arial" w:hAnsi="Arial"/>
          <w:sz w:val="21"/>
        </w:rPr>
        <w:t>BPD</w:t>
      </w:r>
    </w:p>
    <w:p>
      <w:pPr>
        <w:spacing w:after="160"/>
      </w:pPr>
      <w:r>
        <w:t>Teknik sederhana membuat rapat lebih fokus, singkat, dan menghasilkan keputusan yang dapat ditindaklanjuti.</w:t>
      </w:r>
    </w:p>
    <w:p>
      <w:pPr>
        <w:pStyle w:val="ListBullet"/>
      </w:pPr>
      <w:r>
        <w:t>Agenda terukur</w:t>
      </w:r>
    </w:p>
    <w:p>
      <w:pPr>
        <w:pStyle w:val="ListBullet"/>
      </w:pPr>
      <w:r>
        <w:t>Batas waktu pembahasan</w:t>
      </w:r>
    </w:p>
    <w:p>
      <w:pPr>
        <w:pStyle w:val="ListBullet"/>
      </w:pPr>
      <w:r>
        <w:t>Daftar keputusan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