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Rapat BPD yang Efektif</w:t>
      </w:r>
    </w:p>
    <w:p>
      <w:pPr>
        <w:jc w:val="center"/>
      </w:pPr>
      <w:r>
        <w:rPr>
          <w:b/>
          <w:sz w:val="20"/>
        </w:rPr>
        <w:t>BPD</w:t>
      </w:r>
    </w:p>
    <w:p>
      <w:r>
        <w:t>Rapat yang efektif memiliki agenda terukur, waktu pembahasan yang terjaga, dan daftar keputusan yang jelas.</w:t>
      </w:r>
    </w:p>
    <w:p>
      <w:r>
        <w:rPr>
          <w:b/>
        </w:rPr>
        <w:t>Pokok Isi</w:t>
      </w:r>
    </w:p>
    <w:p>
      <w:pPr>
        <w:pStyle w:val="ListBullet"/>
      </w:pPr>
      <w:r>
        <w:t>Agenda terukur</w:t>
      </w:r>
    </w:p>
    <w:p>
      <w:pPr>
        <w:pStyle w:val="ListBullet"/>
      </w:pPr>
      <w:r>
        <w:t>Batas waktu</w:t>
      </w:r>
    </w:p>
    <w:p>
      <w:pPr>
        <w:pStyle w:val="ListBullet"/>
      </w:pPr>
      <w:r>
        <w:t>Daftar keputusan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