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Relawan Digital Desa</w:t>
      </w:r>
    </w:p>
    <w:p>
      <w:pPr>
        <w:jc w:val="center"/>
      </w:pPr>
      <w:r>
        <w:rPr>
          <w:rFonts w:ascii="Arial" w:hAnsi="Arial"/>
          <w:sz w:val="21"/>
        </w:rPr>
        <w:t>Literasi Digital</w:t>
      </w:r>
    </w:p>
    <w:p>
      <w:pPr>
        <w:spacing w:after="160"/>
      </w:pPr>
      <w:r>
        <w:t>Gagasan membangun relawan lokal yang membantu literasi digital, layanan informasi, dan edukasi warga.</w:t>
      </w:r>
    </w:p>
    <w:p>
      <w:pPr>
        <w:pStyle w:val="ListBullet"/>
      </w:pPr>
      <w:r>
        <w:t>Pendampingan dasar</w:t>
      </w:r>
    </w:p>
    <w:p>
      <w:pPr>
        <w:pStyle w:val="ListBullet"/>
      </w:pPr>
      <w:r>
        <w:t>Kelas singkat warga</w:t>
      </w:r>
    </w:p>
    <w:p>
      <w:pPr>
        <w:pStyle w:val="ListBullet"/>
      </w:pPr>
      <w:r>
        <w:t>Rujukan layanan resmi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