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Relawan Digital Desa</w:t>
      </w:r>
    </w:p>
    <w:p>
      <w:pPr>
        <w:jc w:val="center"/>
      </w:pPr>
      <w:r>
        <w:rPr>
          <w:b/>
          <w:sz w:val="20"/>
        </w:rPr>
        <w:t>Literasi Digital</w:t>
      </w:r>
    </w:p>
    <w:p>
      <w:r>
        <w:t>Relawan digital dapat membantu warga memahami layanan daring, keamanan dasar, pencarian informasi resmi, dan penggunaan perangkat.</w:t>
      </w:r>
    </w:p>
    <w:p>
      <w:r>
        <w:rPr>
          <w:b/>
        </w:rPr>
        <w:t>Pokok Isi</w:t>
      </w:r>
    </w:p>
    <w:p>
      <w:pPr>
        <w:pStyle w:val="ListBullet"/>
      </w:pPr>
      <w:r>
        <w:t>Pendampingan dasar</w:t>
      </w:r>
    </w:p>
    <w:p>
      <w:pPr>
        <w:pStyle w:val="ListBullet"/>
      </w:pPr>
      <w:r>
        <w:t>Kelas singkat warga</w:t>
      </w:r>
    </w:p>
    <w:p>
      <w:pPr>
        <w:pStyle w:val="ListBullet"/>
      </w:pPr>
      <w:r>
        <w:t>Rujukan layanan resmi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