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Tata Kelola Desa yang Akuntabel</w:t>
      </w:r>
    </w:p>
    <w:p>
      <w:pPr>
        <w:jc w:val="center"/>
      </w:pPr>
      <w:r>
        <w:rPr>
          <w:rFonts w:ascii="Arial" w:hAnsi="Arial"/>
          <w:sz w:val="21"/>
        </w:rPr>
        <w:t>Tata Kelola</w:t>
      </w:r>
    </w:p>
    <w:p>
      <w:pPr>
        <w:spacing w:after="160"/>
      </w:pPr>
      <w:r>
        <w:t>Prinsip sederhana membangun tata kelola desa yang transparan, tertib administrasi, dan mudah dipahami warga.</w:t>
      </w:r>
    </w:p>
    <w:p>
      <w:pPr>
        <w:pStyle w:val="ListBullet"/>
      </w:pPr>
      <w:r>
        <w:t>Transparansi informasi publik</w:t>
      </w:r>
    </w:p>
    <w:p>
      <w:pPr>
        <w:pStyle w:val="ListBullet"/>
      </w:pPr>
      <w:r>
        <w:t>Pembagian peran kelembagaan</w:t>
      </w:r>
    </w:p>
    <w:p>
      <w:pPr>
        <w:pStyle w:val="ListBullet"/>
      </w:pPr>
      <w:r>
        <w:t>Dokumentasi keputusan dan tindak lanjut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