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Tata Kelola Desa yang Akuntabel</w:t>
      </w:r>
    </w:p>
    <w:p>
      <w:pPr>
        <w:jc w:val="center"/>
      </w:pPr>
      <w:r>
        <w:rPr>
          <w:b/>
          <w:sz w:val="20"/>
        </w:rPr>
        <w:t>Tata Kelola</w:t>
      </w:r>
    </w:p>
    <w:p>
      <w:r>
        <w:t>Tata kelola desa yang baik bertumpu pada pembagian peran yang jelas, administrasi tertib, dan informasi yang dapat diperiksa masyarakat.</w:t>
      </w:r>
    </w:p>
    <w:p>
      <w:r>
        <w:rPr>
          <w:b/>
        </w:rPr>
        <w:t>Pokok Isi</w:t>
      </w:r>
    </w:p>
    <w:p>
      <w:pPr>
        <w:pStyle w:val="ListBullet"/>
      </w:pPr>
      <w:r>
        <w:t>Transparansi informasi</w:t>
      </w:r>
    </w:p>
    <w:p>
      <w:pPr>
        <w:pStyle w:val="ListBullet"/>
      </w:pPr>
      <w:r>
        <w:t>Pembagian peran kelembagaan</w:t>
      </w:r>
    </w:p>
    <w:p>
      <w:pPr>
        <w:pStyle w:val="ListBullet"/>
      </w:pPr>
      <w:r>
        <w:t>Dokumentasi keputusan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