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Membaca Anggaran Desa</w:t>
      </w:r>
    </w:p>
    <w:p>
      <w:pPr>
        <w:jc w:val="center"/>
      </w:pPr>
      <w:r>
        <w:rPr>
          <w:rFonts w:ascii="Arial" w:hAnsi="Arial"/>
          <w:sz w:val="21"/>
        </w:rPr>
        <w:t>Anggaran</w:t>
      </w:r>
    </w:p>
    <w:p>
      <w:pPr>
        <w:spacing w:after="160"/>
      </w:pPr>
      <w:r>
        <w:t>Cara sederhana memahami struktur anggaran desa dan menyajikannya agar mudah dibaca masyarakat.</w:t>
      </w:r>
    </w:p>
    <w:p>
      <w:pPr>
        <w:pStyle w:val="ListBullet"/>
      </w:pPr>
      <w:r>
        <w:t>Pendapatan dan belanja</w:t>
      </w:r>
    </w:p>
    <w:p>
      <w:pPr>
        <w:pStyle w:val="ListBullet"/>
      </w:pPr>
      <w:r>
        <w:t>Prioritas anggaran</w:t>
      </w:r>
    </w:p>
    <w:p>
      <w:pPr>
        <w:pStyle w:val="ListBullet"/>
      </w:pPr>
      <w:r>
        <w:t>Pelaporan yang komunikatif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