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Undang-Undang Desa</w:t>
      </w:r>
    </w:p>
    <w:p>
      <w:pPr>
        <w:jc w:val="center"/>
      </w:pPr>
      <w:r>
        <w:rPr>
          <w:b/>
          <w:sz w:val="20"/>
        </w:rPr>
        <w:t>Undang-Undang</w:t>
      </w:r>
    </w:p>
    <w:p>
      <w:r>
        <w:t>Kerangka hukum penyelenggaraan pemerintahan desa, pembangunan, pembinaan kemasyarakatan, dan pemberdayaan masyarakat.</w:t>
      </w:r>
    </w:p>
    <w:p>
      <w:r>
        <w:rPr>
          <w:b/>
        </w:rPr>
        <w:t>Pokok Isi</w:t>
      </w:r>
    </w:p>
    <w:p>
      <w:pPr>
        <w:pStyle w:val="ListBullet"/>
      </w:pPr>
      <w:r>
        <w:t>Kedudukan dan kewenangan desa</w:t>
      </w:r>
    </w:p>
    <w:p>
      <w:pPr>
        <w:pStyle w:val="ListBullet"/>
      </w:pPr>
      <w:r>
        <w:t>Penyelenggaraan pemerintahan desa</w:t>
      </w:r>
    </w:p>
    <w:p>
      <w:pPr>
        <w:pStyle w:val="ListBullet"/>
      </w:pPr>
      <w:r>
        <w:t>Partisipasi dan pembangunan desa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