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0CA325" w14:textId="2477DED4" w:rsidR="008626AF" w:rsidRDefault="00000000" w:rsidP="002A1B98">
      <w:pPr>
        <w:spacing w:after="0" w:line="240" w:lineRule="auto"/>
        <w:jc w:val="center"/>
      </w:pPr>
      <w:r>
        <w:rPr>
          <w:b/>
          <w:sz w:val="30"/>
        </w:rPr>
        <w:t>What Will Exist at 9 Months and 18 Months That Does Not Exist Today?</w:t>
      </w:r>
    </w:p>
    <w:tbl>
      <w:tblPr>
        <w:tblStyle w:val="TableGrid"/>
        <w:tblW w:w="0" w:type="auto"/>
        <w:jc w:val="center"/>
        <w:tblLayout w:type="fixed"/>
        <w:tblLook w:val="04A0" w:firstRow="1" w:lastRow="0" w:firstColumn="1" w:lastColumn="0" w:noHBand="0" w:noVBand="1"/>
      </w:tblPr>
      <w:tblGrid>
        <w:gridCol w:w="2088"/>
        <w:gridCol w:w="3960"/>
        <w:gridCol w:w="4320"/>
        <w:gridCol w:w="4320"/>
      </w:tblGrid>
      <w:tr w:rsidR="008626AF" w14:paraId="3E30B8D6" w14:textId="77777777">
        <w:trPr>
          <w:jc w:val="center"/>
        </w:trPr>
        <w:tc>
          <w:tcPr>
            <w:tcW w:w="2088" w:type="dxa"/>
            <w:vAlign w:val="center"/>
          </w:tcPr>
          <w:p w14:paraId="49DB9AEE" w14:textId="77777777" w:rsidR="008626AF" w:rsidRDefault="00000000">
            <w:r>
              <w:rPr>
                <w:b/>
                <w:sz w:val="18"/>
              </w:rPr>
              <w:t>Dimension</w:t>
            </w:r>
          </w:p>
        </w:tc>
        <w:tc>
          <w:tcPr>
            <w:tcW w:w="3960" w:type="dxa"/>
            <w:vAlign w:val="center"/>
          </w:tcPr>
          <w:p w14:paraId="08D38A29" w14:textId="77777777" w:rsidR="008626AF" w:rsidRDefault="00000000">
            <w:r>
              <w:rPr>
                <w:b/>
                <w:sz w:val="18"/>
              </w:rPr>
              <w:t>Today: Existing Prototype</w:t>
            </w:r>
          </w:p>
        </w:tc>
        <w:tc>
          <w:tcPr>
            <w:tcW w:w="4320" w:type="dxa"/>
            <w:vAlign w:val="center"/>
          </w:tcPr>
          <w:p w14:paraId="3667F760" w14:textId="77777777" w:rsidR="008626AF" w:rsidRDefault="00000000">
            <w:r>
              <w:rPr>
                <w:b/>
                <w:sz w:val="18"/>
              </w:rPr>
              <w:t>Month 9: Stage 1 Deliverable</w:t>
            </w:r>
          </w:p>
        </w:tc>
        <w:tc>
          <w:tcPr>
            <w:tcW w:w="4320" w:type="dxa"/>
            <w:vAlign w:val="center"/>
          </w:tcPr>
          <w:p w14:paraId="4D89E55B" w14:textId="77777777" w:rsidR="008626AF" w:rsidRDefault="00000000">
            <w:r>
              <w:rPr>
                <w:b/>
                <w:sz w:val="18"/>
              </w:rPr>
              <w:t>Month 18: Full Build Deliverable</w:t>
            </w:r>
          </w:p>
        </w:tc>
      </w:tr>
      <w:tr w:rsidR="008626AF" w14:paraId="010E6D2B" w14:textId="77777777">
        <w:trPr>
          <w:jc w:val="center"/>
        </w:trPr>
        <w:tc>
          <w:tcPr>
            <w:tcW w:w="2088" w:type="dxa"/>
          </w:tcPr>
          <w:p w14:paraId="6E2FCF58" w14:textId="77777777" w:rsidR="008626AF" w:rsidRDefault="00000000">
            <w:r>
              <w:rPr>
                <w:b/>
                <w:sz w:val="17"/>
              </w:rPr>
              <w:t>Product status</w:t>
            </w:r>
          </w:p>
        </w:tc>
        <w:tc>
          <w:tcPr>
            <w:tcW w:w="3960" w:type="dxa"/>
          </w:tcPr>
          <w:p w14:paraId="3B32487F" w14:textId="77777777" w:rsidR="008626AF" w:rsidRDefault="00000000">
            <w:r>
              <w:rPr>
                <w:sz w:val="17"/>
              </w:rPr>
              <w:t>Working proof of concept demonstrating that authoritative demographic data can be assembled and presented for a selected Greek region.</w:t>
            </w:r>
          </w:p>
        </w:tc>
        <w:tc>
          <w:tcPr>
            <w:tcW w:w="4320" w:type="dxa"/>
          </w:tcPr>
          <w:p w14:paraId="13140EC6" w14:textId="77777777" w:rsidR="008626AF" w:rsidRDefault="00000000">
            <w:r>
              <w:rPr>
                <w:sz w:val="17"/>
              </w:rPr>
              <w:t>Production-grade national demographic core: a usable standalone system rather than a regional proof of concept.</w:t>
            </w:r>
          </w:p>
        </w:tc>
        <w:tc>
          <w:tcPr>
            <w:tcW w:w="4320" w:type="dxa"/>
          </w:tcPr>
          <w:p w14:paraId="03878538" w14:textId="77777777" w:rsidR="008626AF" w:rsidRDefault="00000000">
            <w:r>
              <w:rPr>
                <w:sz w:val="17"/>
              </w:rPr>
              <w:t>Completed national Demographic Toolkit: the demographic core plus broader contextual, analytical and institutional capabilities contemplated in the full proposal.</w:t>
            </w:r>
          </w:p>
        </w:tc>
      </w:tr>
      <w:tr w:rsidR="008626AF" w14:paraId="03CCDE37" w14:textId="77777777">
        <w:trPr>
          <w:jc w:val="center"/>
        </w:trPr>
        <w:tc>
          <w:tcPr>
            <w:tcW w:w="2088" w:type="dxa"/>
          </w:tcPr>
          <w:p w14:paraId="217ECA76" w14:textId="77777777" w:rsidR="008626AF" w:rsidRDefault="00000000">
            <w:r>
              <w:rPr>
                <w:b/>
                <w:sz w:val="17"/>
              </w:rPr>
              <w:t>Geographic coverage</w:t>
            </w:r>
          </w:p>
        </w:tc>
        <w:tc>
          <w:tcPr>
            <w:tcW w:w="3960" w:type="dxa"/>
          </w:tcPr>
          <w:p w14:paraId="1829E16B" w14:textId="77777777" w:rsidR="008626AF" w:rsidRDefault="00000000">
            <w:r>
              <w:rPr>
                <w:sz w:val="17"/>
              </w:rPr>
              <w:t>Primarily EL613/Magnisia &amp; Sporades, with selected municipal/LAU work and Pelion experimentation; not a consistent national system.</w:t>
            </w:r>
          </w:p>
        </w:tc>
        <w:tc>
          <w:tcPr>
            <w:tcW w:w="4320" w:type="dxa"/>
          </w:tcPr>
          <w:p w14:paraId="19B98EF7" w14:textId="375CD13D" w:rsidR="008626AF" w:rsidRDefault="00000000">
            <w:r>
              <w:rPr>
                <w:sz w:val="17"/>
              </w:rPr>
              <w:t>National → NUTS2 → NUTS3 → municipality coverage for the agreed core indicators where authoritative data support it; documented geographic and boundary handling.</w:t>
            </w:r>
          </w:p>
        </w:tc>
        <w:tc>
          <w:tcPr>
            <w:tcW w:w="4320" w:type="dxa"/>
          </w:tcPr>
          <w:p w14:paraId="7EAE67B1" w14:textId="11384933" w:rsidR="008626AF" w:rsidRDefault="00000000">
            <w:r>
              <w:rPr>
                <w:sz w:val="17"/>
              </w:rPr>
              <w:t>Expanded and stabilized national geographic framework, with locality/settlement detail where official data legitimately permit it</w:t>
            </w:r>
            <w:r w:rsidR="002A1B98">
              <w:rPr>
                <w:sz w:val="17"/>
              </w:rPr>
              <w:t>.</w:t>
            </w:r>
            <w:r>
              <w:rPr>
                <w:sz w:val="17"/>
              </w:rPr>
              <w:t xml:space="preserve"> </w:t>
            </w:r>
            <w:r w:rsidR="002A1B98">
              <w:rPr>
                <w:sz w:val="17"/>
              </w:rPr>
              <w:t>B</w:t>
            </w:r>
            <w:r>
              <w:rPr>
                <w:sz w:val="17"/>
              </w:rPr>
              <w:t>road cross-domain integration.</w:t>
            </w:r>
          </w:p>
        </w:tc>
      </w:tr>
      <w:tr w:rsidR="008626AF" w14:paraId="7A9464B4" w14:textId="77777777">
        <w:trPr>
          <w:jc w:val="center"/>
        </w:trPr>
        <w:tc>
          <w:tcPr>
            <w:tcW w:w="2088" w:type="dxa"/>
          </w:tcPr>
          <w:p w14:paraId="657584DF" w14:textId="77777777" w:rsidR="008626AF" w:rsidRDefault="00000000">
            <w:r>
              <w:rPr>
                <w:b/>
                <w:sz w:val="17"/>
              </w:rPr>
              <w:t>Demographic domains</w:t>
            </w:r>
          </w:p>
        </w:tc>
        <w:tc>
          <w:tcPr>
            <w:tcW w:w="3960" w:type="dxa"/>
          </w:tcPr>
          <w:p w14:paraId="6877553F" w14:textId="77777777" w:rsidR="008626AF" w:rsidRDefault="00000000">
            <w:r>
              <w:rPr>
                <w:sz w:val="17"/>
              </w:rPr>
              <w:t>Prototype functions across population structure, fertility, mortality, migration/citizenship and projections, but developed unevenly and around the original regional use case.</w:t>
            </w:r>
          </w:p>
        </w:tc>
        <w:tc>
          <w:tcPr>
            <w:tcW w:w="4320" w:type="dxa"/>
          </w:tcPr>
          <w:p w14:paraId="450E43DA" w14:textId="77777777" w:rsidR="008626AF" w:rsidRDefault="00000000">
            <w:r>
              <w:rPr>
                <w:sz w:val="17"/>
              </w:rPr>
              <w:t>A defined, validated core of population/age structure, fertility, mortality, migration and population projections implemented consistently at national and subnational levels.</w:t>
            </w:r>
          </w:p>
        </w:tc>
        <w:tc>
          <w:tcPr>
            <w:tcW w:w="4320" w:type="dxa"/>
          </w:tcPr>
          <w:p w14:paraId="4F4DE699" w14:textId="77777777" w:rsidR="008626AF" w:rsidRDefault="00000000">
            <w:r>
              <w:rPr>
                <w:sz w:val="17"/>
              </w:rPr>
              <w:t>Core demographic domains fully integrated with the broader contextual and analytical components specified for the complete Toolkit.</w:t>
            </w:r>
          </w:p>
        </w:tc>
      </w:tr>
      <w:tr w:rsidR="008626AF" w14:paraId="744FAAE6" w14:textId="77777777">
        <w:trPr>
          <w:jc w:val="center"/>
        </w:trPr>
        <w:tc>
          <w:tcPr>
            <w:tcW w:w="2088" w:type="dxa"/>
          </w:tcPr>
          <w:p w14:paraId="29E84787" w14:textId="77777777" w:rsidR="008626AF" w:rsidRDefault="00000000">
            <w:r>
              <w:rPr>
                <w:b/>
                <w:sz w:val="17"/>
              </w:rPr>
              <w:t>Data pipelines</w:t>
            </w:r>
          </w:p>
        </w:tc>
        <w:tc>
          <w:tcPr>
            <w:tcW w:w="3960" w:type="dxa"/>
          </w:tcPr>
          <w:p w14:paraId="4F0CBC5E" w14:textId="77777777" w:rsidR="008626AF" w:rsidRDefault="00000000">
            <w:r>
              <w:rPr>
                <w:sz w:val="17"/>
              </w:rPr>
              <w:t>Research/prototype pipelines; some data acquisition, cleaning and integration remain manual or analyst-dependent.</w:t>
            </w:r>
          </w:p>
        </w:tc>
        <w:tc>
          <w:tcPr>
            <w:tcW w:w="4320" w:type="dxa"/>
          </w:tcPr>
          <w:p w14:paraId="36A33013" w14:textId="77777777" w:rsidR="008626AF" w:rsidRDefault="00000000">
            <w:r>
              <w:rPr>
                <w:sz w:val="17"/>
              </w:rPr>
              <w:t>Documented, repeatable production pipelines for the agreed core datasets, with monitoring, update procedures, versioning and failure handling.</w:t>
            </w:r>
          </w:p>
        </w:tc>
        <w:tc>
          <w:tcPr>
            <w:tcW w:w="4320" w:type="dxa"/>
          </w:tcPr>
          <w:p w14:paraId="2D781F25" w14:textId="77777777" w:rsidR="008626AF" w:rsidRDefault="00000000">
            <w:r>
              <w:rPr>
                <w:sz w:val="17"/>
              </w:rPr>
              <w:t>Broader automated/semi-automated pipeline estate covering the full Toolkit scope, with mature operational monitoring and maintenance procedures.</w:t>
            </w:r>
          </w:p>
        </w:tc>
      </w:tr>
      <w:tr w:rsidR="008626AF" w14:paraId="1CE7210E" w14:textId="77777777">
        <w:trPr>
          <w:jc w:val="center"/>
        </w:trPr>
        <w:tc>
          <w:tcPr>
            <w:tcW w:w="2088" w:type="dxa"/>
          </w:tcPr>
          <w:p w14:paraId="2F5C3F4E" w14:textId="77777777" w:rsidR="008626AF" w:rsidRDefault="00000000">
            <w:r>
              <w:rPr>
                <w:b/>
                <w:sz w:val="17"/>
              </w:rPr>
              <w:t>Data provenance and metadata</w:t>
            </w:r>
          </w:p>
        </w:tc>
        <w:tc>
          <w:tcPr>
            <w:tcW w:w="3960" w:type="dxa"/>
          </w:tcPr>
          <w:p w14:paraId="00F54FA8" w14:textId="77777777" w:rsidR="008626AF" w:rsidRDefault="00000000">
            <w:r>
              <w:rPr>
                <w:sz w:val="17"/>
              </w:rPr>
              <w:t>Sources and methods are known to the development team but documentation is incomplete and not uniformly user-facing.</w:t>
            </w:r>
          </w:p>
        </w:tc>
        <w:tc>
          <w:tcPr>
            <w:tcW w:w="4320" w:type="dxa"/>
          </w:tcPr>
          <w:p w14:paraId="5DFD9BF9" w14:textId="77777777" w:rsidR="008626AF" w:rsidRDefault="00000000">
            <w:r>
              <w:rPr>
                <w:sz w:val="17"/>
              </w:rPr>
              <w:t>Source provenance, indicator definitions, methods, geographic definitions, update dates and limitations documented for the Stage 1 core.</w:t>
            </w:r>
          </w:p>
        </w:tc>
        <w:tc>
          <w:tcPr>
            <w:tcW w:w="4320" w:type="dxa"/>
          </w:tcPr>
          <w:p w14:paraId="65558549" w14:textId="77777777" w:rsidR="008626AF" w:rsidRDefault="00000000">
            <w:r>
              <w:rPr>
                <w:sz w:val="17"/>
              </w:rPr>
              <w:t>Complete metadata/provenance framework across demographic and contextual domains, maintained as part of routine operations.</w:t>
            </w:r>
          </w:p>
        </w:tc>
      </w:tr>
      <w:tr w:rsidR="008626AF" w14:paraId="4A4BB611" w14:textId="77777777">
        <w:trPr>
          <w:jc w:val="center"/>
        </w:trPr>
        <w:tc>
          <w:tcPr>
            <w:tcW w:w="2088" w:type="dxa"/>
          </w:tcPr>
          <w:p w14:paraId="69EBE043" w14:textId="77777777" w:rsidR="008626AF" w:rsidRDefault="00000000">
            <w:r>
              <w:rPr>
                <w:b/>
                <w:sz w:val="17"/>
              </w:rPr>
              <w:t>Software architecture</w:t>
            </w:r>
          </w:p>
        </w:tc>
        <w:tc>
          <w:tcPr>
            <w:tcW w:w="3960" w:type="dxa"/>
          </w:tcPr>
          <w:p w14:paraId="190763CD" w14:textId="77777777" w:rsidR="008626AF" w:rsidRDefault="00000000">
            <w:r>
              <w:rPr>
                <w:sz w:val="17"/>
              </w:rPr>
              <w:t>Functional prototype architecture developed iteratively; not yet engineered as durable national public infrastructure.</w:t>
            </w:r>
          </w:p>
        </w:tc>
        <w:tc>
          <w:tcPr>
            <w:tcW w:w="4320" w:type="dxa"/>
          </w:tcPr>
          <w:p w14:paraId="4B8C73CF" w14:textId="77777777" w:rsidR="008626AF" w:rsidRDefault="00000000">
            <w:r>
              <w:rPr>
                <w:sz w:val="17"/>
              </w:rPr>
              <w:t>Production architecture with separated data/API and user-interface layers, deployment procedures, organizational repositories and documented technical operations.</w:t>
            </w:r>
          </w:p>
        </w:tc>
        <w:tc>
          <w:tcPr>
            <w:tcW w:w="4320" w:type="dxa"/>
          </w:tcPr>
          <w:p w14:paraId="664398D9" w14:textId="77777777" w:rsidR="008626AF" w:rsidRDefault="00000000">
            <w:r>
              <w:rPr>
                <w:sz w:val="17"/>
              </w:rPr>
              <w:t>Hardened, scalable architecture supporting the complete Toolkit, expanded institutional use and long-term maintenance.</w:t>
            </w:r>
          </w:p>
        </w:tc>
      </w:tr>
      <w:tr w:rsidR="008626AF" w14:paraId="3C44440A" w14:textId="77777777">
        <w:trPr>
          <w:jc w:val="center"/>
        </w:trPr>
        <w:tc>
          <w:tcPr>
            <w:tcW w:w="2088" w:type="dxa"/>
          </w:tcPr>
          <w:p w14:paraId="55947FF8" w14:textId="77777777" w:rsidR="008626AF" w:rsidRDefault="00000000">
            <w:r>
              <w:rPr>
                <w:b/>
                <w:sz w:val="17"/>
              </w:rPr>
              <w:t>User interface</w:t>
            </w:r>
          </w:p>
        </w:tc>
        <w:tc>
          <w:tcPr>
            <w:tcW w:w="3960" w:type="dxa"/>
          </w:tcPr>
          <w:p w14:paraId="3CFE261C" w14:textId="77777777" w:rsidR="008626AF" w:rsidRDefault="00000000">
            <w:r>
              <w:rPr>
                <w:sz w:val="17"/>
              </w:rPr>
              <w:t>Research-oriented dashboard/prototype interface demonstrating functionality.</w:t>
            </w:r>
          </w:p>
        </w:tc>
        <w:tc>
          <w:tcPr>
            <w:tcW w:w="4320" w:type="dxa"/>
          </w:tcPr>
          <w:p w14:paraId="7D08D1EA" w14:textId="77777777" w:rsidR="008626AF" w:rsidRDefault="00000000">
            <w:r>
              <w:rPr>
                <w:sz w:val="17"/>
              </w:rPr>
              <w:t>Purpose-built user interface for the national demographic core, including clear navigation, visualization, downloads and web mapping; tested with institutional users.</w:t>
            </w:r>
          </w:p>
        </w:tc>
        <w:tc>
          <w:tcPr>
            <w:tcW w:w="4320" w:type="dxa"/>
          </w:tcPr>
          <w:p w14:paraId="566A04BA" w14:textId="77777777" w:rsidR="008626AF" w:rsidRDefault="00000000">
            <w:r>
              <w:rPr>
                <w:sz w:val="17"/>
              </w:rPr>
              <w:t>Refined full Toolkit interface supporting broader analytical workflows, contextual evidence and institutional use cases.</w:t>
            </w:r>
          </w:p>
        </w:tc>
      </w:tr>
      <w:tr w:rsidR="008626AF" w14:paraId="28D41FF5" w14:textId="77777777">
        <w:trPr>
          <w:jc w:val="center"/>
        </w:trPr>
        <w:tc>
          <w:tcPr>
            <w:tcW w:w="2088" w:type="dxa"/>
          </w:tcPr>
          <w:p w14:paraId="21F2FFC3" w14:textId="77777777" w:rsidR="008626AF" w:rsidRDefault="00000000">
            <w:r>
              <w:rPr>
                <w:b/>
                <w:sz w:val="17"/>
              </w:rPr>
              <w:t>GIS and mapping</w:t>
            </w:r>
          </w:p>
        </w:tc>
        <w:tc>
          <w:tcPr>
            <w:tcW w:w="3960" w:type="dxa"/>
          </w:tcPr>
          <w:p w14:paraId="024AA44D" w14:textId="77777777" w:rsidR="008626AF" w:rsidRDefault="00000000">
            <w:r>
              <w:rPr>
                <w:sz w:val="17"/>
              </w:rPr>
              <w:t>Regional mapping and GIS work demonstrate feasibility, but national spatial architecture and crosswalk management are not yet productionized.</w:t>
            </w:r>
          </w:p>
        </w:tc>
        <w:tc>
          <w:tcPr>
            <w:tcW w:w="4320" w:type="dxa"/>
          </w:tcPr>
          <w:p w14:paraId="048DC3E4" w14:textId="77777777" w:rsidR="008626AF" w:rsidRDefault="00000000">
            <w:r>
              <w:rPr>
                <w:sz w:val="17"/>
              </w:rPr>
              <w:t>National geographic framework and web mapping integrated into the core; spatial crosswalks and boundary/version issues documented and validated.</w:t>
            </w:r>
          </w:p>
        </w:tc>
        <w:tc>
          <w:tcPr>
            <w:tcW w:w="4320" w:type="dxa"/>
          </w:tcPr>
          <w:p w14:paraId="4DA0B1DC" w14:textId="77777777" w:rsidR="008626AF" w:rsidRDefault="00000000">
            <w:r>
              <w:rPr>
                <w:sz w:val="17"/>
              </w:rPr>
              <w:t>Expanded spatial functionality and finer geographic integration where data permit, with mature geographic maintenance procedures.</w:t>
            </w:r>
          </w:p>
        </w:tc>
      </w:tr>
      <w:tr w:rsidR="008626AF" w14:paraId="6AC3AF5C" w14:textId="77777777">
        <w:trPr>
          <w:jc w:val="center"/>
        </w:trPr>
        <w:tc>
          <w:tcPr>
            <w:tcW w:w="2088" w:type="dxa"/>
          </w:tcPr>
          <w:p w14:paraId="6CDAC06F" w14:textId="77777777" w:rsidR="008626AF" w:rsidRDefault="00000000">
            <w:r>
              <w:rPr>
                <w:b/>
                <w:sz w:val="17"/>
              </w:rPr>
              <w:t>Quality assurance</w:t>
            </w:r>
          </w:p>
        </w:tc>
        <w:tc>
          <w:tcPr>
            <w:tcW w:w="3960" w:type="dxa"/>
          </w:tcPr>
          <w:p w14:paraId="1F1558A3" w14:textId="77777777" w:rsidR="008626AF" w:rsidRDefault="00000000">
            <w:r>
              <w:rPr>
                <w:sz w:val="17"/>
              </w:rPr>
              <w:t>Developer/researcher checking; no formal independent release-validation process.</w:t>
            </w:r>
          </w:p>
        </w:tc>
        <w:tc>
          <w:tcPr>
            <w:tcW w:w="4320" w:type="dxa"/>
          </w:tcPr>
          <w:p w14:paraId="10F637DD" w14:textId="77777777" w:rsidR="008626AF" w:rsidRDefault="00000000">
            <w:r>
              <w:rPr>
                <w:sz w:val="17"/>
              </w:rPr>
              <w:t>Continuous technical and demographic QA plus a late-stage independent release-validation sprint, regression testing and documentation audit.</w:t>
            </w:r>
          </w:p>
        </w:tc>
        <w:tc>
          <w:tcPr>
            <w:tcW w:w="4320" w:type="dxa"/>
          </w:tcPr>
          <w:p w14:paraId="50C9DA2C" w14:textId="77777777" w:rsidR="008626AF" w:rsidRDefault="00000000">
            <w:r>
              <w:rPr>
                <w:sz w:val="17"/>
              </w:rPr>
              <w:t>Mature QA regime covering the full Toolkit, with reusable acceptance tests, release controls and operational monitoring.</w:t>
            </w:r>
          </w:p>
        </w:tc>
      </w:tr>
      <w:tr w:rsidR="008626AF" w14:paraId="48FE3CD4" w14:textId="77777777">
        <w:trPr>
          <w:jc w:val="center"/>
        </w:trPr>
        <w:tc>
          <w:tcPr>
            <w:tcW w:w="2088" w:type="dxa"/>
          </w:tcPr>
          <w:p w14:paraId="702B5368" w14:textId="77777777" w:rsidR="008626AF" w:rsidRDefault="00000000">
            <w:r>
              <w:rPr>
                <w:b/>
                <w:sz w:val="17"/>
              </w:rPr>
              <w:t>Institutional users</w:t>
            </w:r>
          </w:p>
        </w:tc>
        <w:tc>
          <w:tcPr>
            <w:tcW w:w="3960" w:type="dxa"/>
          </w:tcPr>
          <w:p w14:paraId="492BA7B4" w14:textId="741856AC" w:rsidR="008626AF" w:rsidRDefault="00000000">
            <w:r>
              <w:rPr>
                <w:sz w:val="17"/>
              </w:rPr>
              <w:t>Prototype demonstrates potential value; institutional use and validation not yet part of the product lifecycle.</w:t>
            </w:r>
          </w:p>
        </w:tc>
        <w:tc>
          <w:tcPr>
            <w:tcW w:w="4320" w:type="dxa"/>
          </w:tcPr>
          <w:p w14:paraId="2ACD8606" w14:textId="77777777" w:rsidR="008626AF" w:rsidRDefault="00000000">
            <w:r>
              <w:rPr>
                <w:sz w:val="17"/>
              </w:rPr>
              <w:t>Priority institutional users participate in structured task-based testing and validation of the Stage 1 core.</w:t>
            </w:r>
          </w:p>
        </w:tc>
        <w:tc>
          <w:tcPr>
            <w:tcW w:w="4320" w:type="dxa"/>
          </w:tcPr>
          <w:p w14:paraId="299B61A8" w14:textId="6F2BD0DC" w:rsidR="008626AF" w:rsidRDefault="00000000">
            <w:r>
              <w:rPr>
                <w:sz w:val="17"/>
              </w:rPr>
              <w:t xml:space="preserve">Broad institutional adoption, training, user support and governance relationships </w:t>
            </w:r>
            <w:r w:rsidR="002A1B98">
              <w:rPr>
                <w:sz w:val="17"/>
              </w:rPr>
              <w:t>built</w:t>
            </w:r>
            <w:r>
              <w:rPr>
                <w:sz w:val="17"/>
              </w:rPr>
              <w:t xml:space="preserve"> </w:t>
            </w:r>
            <w:r w:rsidR="002A1B98">
              <w:rPr>
                <w:sz w:val="17"/>
              </w:rPr>
              <w:t>with</w:t>
            </w:r>
            <w:r>
              <w:rPr>
                <w:sz w:val="17"/>
              </w:rPr>
              <w:t xml:space="preserve"> the complete Toolkit.</w:t>
            </w:r>
          </w:p>
        </w:tc>
      </w:tr>
      <w:tr w:rsidR="008626AF" w14:paraId="559DFD3F" w14:textId="77777777">
        <w:trPr>
          <w:jc w:val="center"/>
        </w:trPr>
        <w:tc>
          <w:tcPr>
            <w:tcW w:w="2088" w:type="dxa"/>
          </w:tcPr>
          <w:p w14:paraId="5C705FD7" w14:textId="77777777" w:rsidR="008626AF" w:rsidRDefault="00000000">
            <w:r>
              <w:rPr>
                <w:b/>
                <w:sz w:val="17"/>
              </w:rPr>
              <w:t>Analytical capability</w:t>
            </w:r>
          </w:p>
        </w:tc>
        <w:tc>
          <w:tcPr>
            <w:tcW w:w="3960" w:type="dxa"/>
          </w:tcPr>
          <w:p w14:paraId="5E19983D" w14:textId="77777777" w:rsidR="008626AF" w:rsidRDefault="00000000">
            <w:r>
              <w:rPr>
                <w:sz w:val="17"/>
              </w:rPr>
              <w:t>Descriptive demographic indicators, comparisons and projections demonstrated; advanced decision-support functionality remains limited/prototypical.</w:t>
            </w:r>
          </w:p>
        </w:tc>
        <w:tc>
          <w:tcPr>
            <w:tcW w:w="4320" w:type="dxa"/>
          </w:tcPr>
          <w:p w14:paraId="16F253E6" w14:textId="77777777" w:rsidR="008626AF" w:rsidRDefault="00000000">
            <w:r>
              <w:rPr>
                <w:sz w:val="17"/>
              </w:rPr>
              <w:t>Reliable descriptive demographic intelligence, comparisons, mapping and transparent projection/scenario functionality for the core domains.</w:t>
            </w:r>
          </w:p>
        </w:tc>
        <w:tc>
          <w:tcPr>
            <w:tcW w:w="4320" w:type="dxa"/>
          </w:tcPr>
          <w:p w14:paraId="69895C12" w14:textId="77777777" w:rsidR="008626AF" w:rsidRDefault="00000000">
            <w:r>
              <w:rPr>
                <w:sz w:val="17"/>
              </w:rPr>
              <w:t>Broader contextual and decision-support capabilities integrated, while maintaining explicit distinctions among indicators, scenarios, inference and causal claims.</w:t>
            </w:r>
          </w:p>
        </w:tc>
      </w:tr>
      <w:tr w:rsidR="008626AF" w14:paraId="77E71FB9" w14:textId="77777777">
        <w:trPr>
          <w:jc w:val="center"/>
        </w:trPr>
        <w:tc>
          <w:tcPr>
            <w:tcW w:w="2088" w:type="dxa"/>
          </w:tcPr>
          <w:p w14:paraId="29094A81" w14:textId="77777777" w:rsidR="008626AF" w:rsidRDefault="00000000">
            <w:r>
              <w:rPr>
                <w:b/>
                <w:sz w:val="17"/>
              </w:rPr>
              <w:t>Documentation</w:t>
            </w:r>
          </w:p>
        </w:tc>
        <w:tc>
          <w:tcPr>
            <w:tcW w:w="3960" w:type="dxa"/>
          </w:tcPr>
          <w:p w14:paraId="647C10ED" w14:textId="77777777" w:rsidR="008626AF" w:rsidRDefault="00000000">
            <w:r>
              <w:rPr>
                <w:sz w:val="17"/>
              </w:rPr>
              <w:t>Development knowledge is partly embedded in the people who built the prototype.</w:t>
            </w:r>
          </w:p>
        </w:tc>
        <w:tc>
          <w:tcPr>
            <w:tcW w:w="4320" w:type="dxa"/>
          </w:tcPr>
          <w:p w14:paraId="06A23AAE" w14:textId="77777777" w:rsidR="008626AF" w:rsidRDefault="00000000">
            <w:r>
              <w:rPr>
                <w:sz w:val="17"/>
              </w:rPr>
              <w:t>Data dictionary, methods documentation, source register, technical runbook, update procedures, known limitations and user documentation for the core.</w:t>
            </w:r>
          </w:p>
        </w:tc>
        <w:tc>
          <w:tcPr>
            <w:tcW w:w="4320" w:type="dxa"/>
          </w:tcPr>
          <w:p w14:paraId="18B1CBE0" w14:textId="77777777" w:rsidR="008626AF" w:rsidRDefault="00000000">
            <w:r>
              <w:rPr>
                <w:sz w:val="17"/>
              </w:rPr>
              <w:t>Complete operational and methodological documentation for the full Toolkit, reducing dependence on individual team members.</w:t>
            </w:r>
          </w:p>
        </w:tc>
      </w:tr>
      <w:tr w:rsidR="008626AF" w14:paraId="201A40EA" w14:textId="77777777">
        <w:trPr>
          <w:jc w:val="center"/>
        </w:trPr>
        <w:tc>
          <w:tcPr>
            <w:tcW w:w="2088" w:type="dxa"/>
          </w:tcPr>
          <w:p w14:paraId="78B8E3C1" w14:textId="77777777" w:rsidR="008626AF" w:rsidRDefault="00000000">
            <w:r>
              <w:rPr>
                <w:b/>
                <w:sz w:val="17"/>
              </w:rPr>
              <w:t>Governance and continuity</w:t>
            </w:r>
          </w:p>
        </w:tc>
        <w:tc>
          <w:tcPr>
            <w:tcW w:w="3960" w:type="dxa"/>
          </w:tcPr>
          <w:p w14:paraId="6806645D" w14:textId="77777777" w:rsidR="008626AF" w:rsidRDefault="00000000">
            <w:r>
              <w:rPr>
                <w:sz w:val="17"/>
              </w:rPr>
              <w:t>Prototype is principally a development project; long-term operating roles and transfer/continuity arrangements are not yet formalized.</w:t>
            </w:r>
          </w:p>
        </w:tc>
        <w:tc>
          <w:tcPr>
            <w:tcW w:w="4320" w:type="dxa"/>
          </w:tcPr>
          <w:p w14:paraId="58452A5C" w14:textId="414D908E" w:rsidR="008626AF" w:rsidRDefault="00000000">
            <w:r>
              <w:rPr>
                <w:sz w:val="17"/>
              </w:rPr>
              <w:t>Named scientific, technical</w:t>
            </w:r>
            <w:r w:rsidR="002A1B98">
              <w:rPr>
                <w:sz w:val="17"/>
              </w:rPr>
              <w:t>/</w:t>
            </w:r>
            <w:r>
              <w:rPr>
                <w:sz w:val="17"/>
              </w:rPr>
              <w:t>organizational responsibilities; documented repositories, credentials, release authority and a Year-2 operations/sustainability plan.</w:t>
            </w:r>
          </w:p>
        </w:tc>
        <w:tc>
          <w:tcPr>
            <w:tcW w:w="4320" w:type="dxa"/>
          </w:tcPr>
          <w:p w14:paraId="7076FECF" w14:textId="77777777" w:rsidR="008626AF" w:rsidRDefault="00000000">
            <w:r>
              <w:rPr>
                <w:sz w:val="17"/>
              </w:rPr>
              <w:t>Established governance and stewardship model for ongoing operation, institutional relationships and continuity beyond the build grant.</w:t>
            </w:r>
          </w:p>
        </w:tc>
      </w:tr>
      <w:tr w:rsidR="008626AF" w14:paraId="3AC9A7D4" w14:textId="77777777">
        <w:trPr>
          <w:jc w:val="center"/>
        </w:trPr>
        <w:tc>
          <w:tcPr>
            <w:tcW w:w="2088" w:type="dxa"/>
          </w:tcPr>
          <w:p w14:paraId="2A391246" w14:textId="77777777" w:rsidR="008626AF" w:rsidRDefault="00000000">
            <w:r>
              <w:rPr>
                <w:b/>
                <w:sz w:val="17"/>
              </w:rPr>
              <w:t>Sustainability</w:t>
            </w:r>
          </w:p>
        </w:tc>
        <w:tc>
          <w:tcPr>
            <w:tcW w:w="3960" w:type="dxa"/>
          </w:tcPr>
          <w:p w14:paraId="6A7EC2EC" w14:textId="77777777" w:rsidR="008626AF" w:rsidRDefault="00000000">
            <w:r>
              <w:rPr>
                <w:sz w:val="17"/>
              </w:rPr>
              <w:t>No mature recurring operating model because the system is still a prototype.</w:t>
            </w:r>
          </w:p>
        </w:tc>
        <w:tc>
          <w:tcPr>
            <w:tcW w:w="4320" w:type="dxa"/>
          </w:tcPr>
          <w:p w14:paraId="1C08BA1E" w14:textId="77777777" w:rsidR="008626AF" w:rsidRDefault="00000000">
            <w:r>
              <w:rPr>
                <w:sz w:val="17"/>
              </w:rPr>
              <w:t>Measured operating workload and a costed Year-2 operating hypothesis based on actual Stage 1 experience.</w:t>
            </w:r>
          </w:p>
        </w:tc>
        <w:tc>
          <w:tcPr>
            <w:tcW w:w="4320" w:type="dxa"/>
          </w:tcPr>
          <w:p w14:paraId="15D8D755" w14:textId="15C78C9E" w:rsidR="008626AF" w:rsidRDefault="00000000">
            <w:r>
              <w:rPr>
                <w:sz w:val="17"/>
              </w:rPr>
              <w:t>Transition from grant-funded build to a</w:t>
            </w:r>
            <w:r w:rsidR="002A1B98">
              <w:rPr>
                <w:sz w:val="17"/>
              </w:rPr>
              <w:t>n</w:t>
            </w:r>
            <w:r>
              <w:rPr>
                <w:sz w:val="17"/>
              </w:rPr>
              <w:t xml:space="preserve"> ongoing operating model with a diversified funding strategy and clear separation between core maintenance and future expansion.</w:t>
            </w:r>
          </w:p>
        </w:tc>
      </w:tr>
      <w:tr w:rsidR="008626AF" w14:paraId="16EE1CC7" w14:textId="77777777">
        <w:trPr>
          <w:jc w:val="center"/>
        </w:trPr>
        <w:tc>
          <w:tcPr>
            <w:tcW w:w="2088" w:type="dxa"/>
          </w:tcPr>
          <w:p w14:paraId="65384296" w14:textId="77777777" w:rsidR="008626AF" w:rsidRDefault="00000000">
            <w:r>
              <w:rPr>
                <w:b/>
                <w:sz w:val="17"/>
              </w:rPr>
              <w:t>What SNF has bought</w:t>
            </w:r>
          </w:p>
        </w:tc>
        <w:tc>
          <w:tcPr>
            <w:tcW w:w="3960" w:type="dxa"/>
          </w:tcPr>
          <w:p w14:paraId="3A5F54C7" w14:textId="77777777" w:rsidR="008626AF" w:rsidRDefault="00000000">
            <w:r>
              <w:rPr>
                <w:sz w:val="17"/>
              </w:rPr>
              <w:t>Existing work demonstrates feasibility but does not yet constitute national infrastructure.</w:t>
            </w:r>
          </w:p>
        </w:tc>
        <w:tc>
          <w:tcPr>
            <w:tcW w:w="4320" w:type="dxa"/>
          </w:tcPr>
          <w:p w14:paraId="7644196D" w14:textId="1C6B4A70" w:rsidR="008626AF" w:rsidRDefault="002A1B98">
            <w:r>
              <w:rPr>
                <w:sz w:val="17"/>
              </w:rPr>
              <w:t>F</w:t>
            </w:r>
            <w:r w:rsidR="00000000">
              <w:rPr>
                <w:sz w:val="17"/>
              </w:rPr>
              <w:t>unctioning, independently validated national demographic core that is useful on its own even if Stage 2 is not funded.</w:t>
            </w:r>
          </w:p>
        </w:tc>
        <w:tc>
          <w:tcPr>
            <w:tcW w:w="4320" w:type="dxa"/>
          </w:tcPr>
          <w:p w14:paraId="2D906136" w14:textId="77777777" w:rsidR="008626AF" w:rsidRDefault="00000000">
            <w:r>
              <w:rPr>
                <w:sz w:val="17"/>
              </w:rPr>
              <w:t>The complete Demographic Toolkit envisioned by the proposal: national public-interest infrastructure combining the demographic core with the broader capabilities, institutionalization and operating framework.</w:t>
            </w:r>
          </w:p>
        </w:tc>
      </w:tr>
    </w:tbl>
    <w:p w14:paraId="7884C98A" w14:textId="77777777" w:rsidR="008626AF" w:rsidRDefault="00000000">
      <w:r>
        <w:rPr>
          <w:b/>
        </w:rPr>
        <w:t xml:space="preserve">Bottom line for SNF: </w:t>
      </w:r>
      <w:r>
        <w:t>Month 9 is not an unfinished half-project. It removes the principal prototype limitations needed to create a production-grade, national demographic core with reliable pipelines, documented methods, usable interface, formal QA and institutional validation. Months 10–18 then broaden and institutionalize that core into the complete Demographic Toolkit contemplated by the full proposal.</w:t>
      </w:r>
    </w:p>
    <w:sectPr w:rsidR="008626AF" w:rsidSect="00034616">
      <w:pgSz w:w="15840" w:h="12240" w:orient="landscape"/>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826280">
    <w:abstractNumId w:val="8"/>
  </w:num>
  <w:num w:numId="2" w16cid:durableId="1658342573">
    <w:abstractNumId w:val="6"/>
  </w:num>
  <w:num w:numId="3" w16cid:durableId="1616980615">
    <w:abstractNumId w:val="5"/>
  </w:num>
  <w:num w:numId="4" w16cid:durableId="78600216">
    <w:abstractNumId w:val="4"/>
  </w:num>
  <w:num w:numId="5" w16cid:durableId="1259022817">
    <w:abstractNumId w:val="7"/>
  </w:num>
  <w:num w:numId="6" w16cid:durableId="1772891059">
    <w:abstractNumId w:val="3"/>
  </w:num>
  <w:num w:numId="7" w16cid:durableId="1355841245">
    <w:abstractNumId w:val="2"/>
  </w:num>
  <w:num w:numId="8" w16cid:durableId="1732539798">
    <w:abstractNumId w:val="1"/>
  </w:num>
  <w:num w:numId="9" w16cid:durableId="16515179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B98"/>
    <w:rsid w:val="00326F90"/>
    <w:rsid w:val="006A2172"/>
    <w:rsid w:val="008626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C7D38"/>
  <w14:defaultImageDpi w14:val="300"/>
  <w15:docId w15:val="{56C17740-1AF3-C846-AA68-586957BE6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844</Words>
  <Characters>6035</Characters>
  <Application>Microsoft Office Word</Application>
  <DocSecurity>0</DocSecurity>
  <Lines>154</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Brendan Mullan</cp:lastModifiedBy>
  <cp:revision>2</cp:revision>
  <dcterms:created xsi:type="dcterms:W3CDTF">2013-12-23T23:15:00Z</dcterms:created>
  <dcterms:modified xsi:type="dcterms:W3CDTF">2026-09-24T13:49:00Z</dcterms:modified>
  <cp:category/>
</cp:coreProperties>
</file>