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Ley 9/2017, de 8 de noviembre, de Contratos del Sector Público (LCSP en adelante), transpone el ordenamiento jurídico español las Directivas del Parlamento Europeo y del Consejo: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2014/23/UE, de 26 de febrero de 2014.</w:t>
      </w:r>
    </w:p>
    <w:p>
      <w:pPr>
        <w:numPr>
          <w:ilvl w:val="0"/>
          <w:numId w:val="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2014/24/UE, de 26 de febrero de 2014.</w:t>
      </w:r>
    </w:p>
    <w:p>
      <w:pPr>
        <w:numPr>
          <w:ilvl w:val="0"/>
          <w:numId w:val="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2014/25/UE, de 26 de febrero de 2014.</w:t>
      </w:r>
    </w:p>
    <w:p>
      <w:pPr>
        <w:numPr>
          <w:ilvl w:val="0"/>
          <w:numId w:val="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respuestas a y b son correctas.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Ley 912017, de 8 de noviembre, de Contratos del Sector Público (LCSP en adelante) se estructura en: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Un Título Preliminar, cinco libros, 347 artículos, 55 disposiciones adicionales, 5 disposiciones transitorias, 16 disposiciones finales y 1 disposición derogatoria y 6 anexos.</w:t>
      </w:r>
    </w:p>
    <w:p>
      <w:pPr>
        <w:numPr>
          <w:ilvl w:val="0"/>
          <w:numId w:val="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Un Título Preliminar, cuatro libros, 347 artículos, 55 disposiciones adicionales, 5 disposiciones transitorias, 1 disposición derogatoria, 16 disposiciones finales y 6 anexos.</w:t>
      </w:r>
    </w:p>
    <w:p>
      <w:pPr>
        <w:numPr>
          <w:ilvl w:val="0"/>
          <w:numId w:val="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Un Título Preliminar, cinco libros, 347 artículos, 43 disposiciones adicionales, 5 disposiciones transitorias, 16 disposiciones finales y 1 disposición derogatoria y 6 anexos,</w:t>
      </w:r>
    </w:p>
    <w:p>
      <w:pPr>
        <w:numPr>
          <w:ilvl w:val="0"/>
          <w:numId w:val="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Un Título Preliminar, cuatro libros, 347 artículos, 43 disposiciones adicionales, 5 disposiciones transitorias, 16 disposiciones finales y 1 disposición derogatoria y 5 anexos.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LCSP fue publicada en el Boletín Oficial del Estado (BOE en adelante) el 9 de noviembre de 2017 entrando, con carácter general, en vigor: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A los dos meses de su publicación.</w:t>
      </w:r>
    </w:p>
    <w:p>
      <w:pPr>
        <w:numPr>
          <w:ilvl w:val="0"/>
          <w:numId w:val="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A los tres meses de su publicación.</w:t>
      </w:r>
    </w:p>
    <w:p>
      <w:pPr>
        <w:numPr>
          <w:ilvl w:val="0"/>
          <w:numId w:val="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A los cuatro meses de su publicación.</w:t>
      </w:r>
    </w:p>
    <w:p>
      <w:pPr>
        <w:numPr>
          <w:ilvl w:val="0"/>
          <w:numId w:val="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A los seis meses de su publicación.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LCSP entró en vigor, con carácter general: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El 8 de marzo de 2018.</w:t>
      </w:r>
    </w:p>
    <w:p>
      <w:pPr>
        <w:numPr>
          <w:ilvl w:val="0"/>
          <w:numId w:val="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El 9 de marzo de 2018.</w:t>
      </w:r>
    </w:p>
    <w:p>
      <w:pPr>
        <w:numPr>
          <w:ilvl w:val="0"/>
          <w:numId w:val="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El 8 de abril de 2018.</w:t>
      </w:r>
    </w:p>
    <w:p>
      <w:pPr>
        <w:numPr>
          <w:ilvl w:val="0"/>
          <w:numId w:val="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El 8 de febrero de 2018.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LCSP tiene por objeto regular la contratación del sector público, a fin de garantizar que la misma se ajusta a los principios de: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Libertad de acceso a las licitaciones.</w:t>
      </w:r>
    </w:p>
    <w:p>
      <w:pPr>
        <w:numPr>
          <w:ilvl w:val="0"/>
          <w:numId w:val="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No discriminación e igualdad de trato entre los licitadores.</w:t>
      </w:r>
    </w:p>
    <w:p>
      <w:pPr>
        <w:numPr>
          <w:ilvl w:val="0"/>
          <w:numId w:val="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Publicidad y transparencia de los procedimientos.</w:t>
      </w:r>
    </w:p>
    <w:p>
      <w:pPr>
        <w:numPr>
          <w:ilvl w:val="0"/>
          <w:numId w:val="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Todas las respuestas anteriores son correctas.</w:t>
      </w:r>
    </w:p>
    <w:p>
      <w:pPr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br w:type="page" w:clear="all"/>
      </w: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Según el artículo 1.3 de la LCSP se facilitará el acceso a la contratación pública de.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7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Pequeñas empresas.</w:t>
      </w:r>
    </w:p>
    <w:p>
      <w:pPr>
        <w:numPr>
          <w:ilvl w:val="0"/>
          <w:numId w:val="7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Medianas empresas.</w:t>
      </w:r>
    </w:p>
    <w:p>
      <w:pPr>
        <w:numPr>
          <w:ilvl w:val="0"/>
          <w:numId w:val="7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Empresas de economía social.</w:t>
      </w:r>
    </w:p>
    <w:p>
      <w:pPr>
        <w:numPr>
          <w:ilvl w:val="0"/>
          <w:numId w:val="7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Todas las respuestas anteriores son correctas.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Como señala el artículo 1.3 de la LCSP se incorporarán de manera transversal y preceptiva en la contratación pública: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Criterios económicos.</w:t>
      </w:r>
    </w:p>
    <w:p>
      <w:pPr>
        <w:numPr>
          <w:ilvl w:val="0"/>
          <w:numId w:val="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Criterios sociales y medioambientales, siempre que guarden relación con el objeto del contrato.</w:t>
      </w:r>
    </w:p>
    <w:p>
      <w:pPr>
        <w:numPr>
          <w:ilvl w:val="0"/>
          <w:numId w:val="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Criterios empresariales.</w:t>
      </w:r>
    </w:p>
    <w:p>
      <w:pPr>
        <w:numPr>
          <w:ilvl w:val="0"/>
          <w:numId w:val="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Criterios macroeconómicos, siempre que guarden relación con el objeto del contrato,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Con carácter general, no tienen la característica de empresas de economía social: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empresas privadas.</w:t>
      </w:r>
    </w:p>
    <w:p>
      <w:pPr>
        <w:numPr>
          <w:ilvl w:val="0"/>
          <w:numId w:val="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cooperativas.</w:t>
      </w:r>
    </w:p>
    <w:p>
      <w:pPr>
        <w:numPr>
          <w:ilvl w:val="0"/>
          <w:numId w:val="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organizaciones no lucrativas.</w:t>
      </w:r>
    </w:p>
    <w:p>
      <w:pPr>
        <w:numPr>
          <w:ilvl w:val="0"/>
          <w:numId w:val="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asociaciones caritativas.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Se entiende que un contrato tiene carácter oneroso, cualquiera que sea su naturaleza jurídica: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0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Cuando el contratista obtenga algún tipo de beneficio económico de forma directa.</w:t>
      </w:r>
    </w:p>
    <w:p>
      <w:pPr>
        <w:numPr>
          <w:ilvl w:val="0"/>
          <w:numId w:val="10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Cuando el contratista obtenga algún tipo de beneficio económico de forma indirecta.</w:t>
      </w:r>
    </w:p>
    <w:p>
      <w:pPr>
        <w:numPr>
          <w:ilvl w:val="0"/>
          <w:numId w:val="10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Cuando el contratista no obtenga ningún tipo de beneficio económico, de forma directa o indirecta.</w:t>
      </w:r>
    </w:p>
    <w:p>
      <w:pPr>
        <w:numPr>
          <w:ilvl w:val="0"/>
          <w:numId w:val="10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respuestas a y b son correctas.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A los efectos de identificar las prestaciones que son objeto de los contratos regulados por la LCSP, se utilizará el Vocabulario común de contratos públicos (CPV)' aprobado por: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El Reglamento (CE) n02195/2015 del Parlamento Europeo y del Consejo de 5 de noviembre de 2015. </w:t>
      </w:r>
    </w:p>
    <w:p>
      <w:pPr>
        <w:numPr>
          <w:ilvl w:val="0"/>
          <w:numId w:val="1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El Reglamento (CE) n02195/2012 del Parlamento Europeo y del Consejo de 5 de noviembre de 2012. </w:t>
      </w:r>
    </w:p>
    <w:p>
      <w:pPr>
        <w:numPr>
          <w:ilvl w:val="0"/>
          <w:numId w:val="1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El Reglamento (CE) n02195/2002 del Parlamento Europeo y del Consejo de 5 de noviembre de 2002.</w:t>
      </w:r>
    </w:p>
    <w:p>
      <w:pPr>
        <w:numPr>
          <w:ilvl w:val="0"/>
          <w:numId w:val="1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Cada estado miembro europeo tiene que aprobar su propio Vocabulario común de contratos públicos e informar a los restantes Estados.</w:t>
      </w:r>
    </w:p>
    <w:p>
      <w:pPr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br w:type="page" w:clear="all"/>
      </w: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Señale la respuesta incorrecta. A los efectos de la LCSP, se considera que forman parte del sector público las siguientes entidades: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Administración General del Estado, las Administraciones de las Comunidades Autónomas, las Ciudades de Ceuta y Melilla y las entidades que integran la administración local</w:t>
      </w:r>
    </w:p>
    <w:p>
      <w:pPr>
        <w:numPr>
          <w:ilvl w:val="0"/>
          <w:numId w:val="1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mutuas colaboradoras con la Seguridad Social.</w:t>
      </w:r>
    </w:p>
    <w:p>
      <w:pPr>
        <w:numPr>
          <w:ilvl w:val="0"/>
          <w:numId w:val="1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fondos con personalidad jurídica.</w:t>
      </w:r>
    </w:p>
    <w:p>
      <w:pPr>
        <w:numPr>
          <w:ilvl w:val="0"/>
          <w:numId w:val="12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fundaciones públicas.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Señale la respuesta incorrecta. A los efectos de la LCSP, se consideran poderes adjudicadores las siguientes entidades: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Administraciones Públicas.</w:t>
      </w:r>
    </w:p>
    <w:p>
      <w:pPr>
        <w:numPr>
          <w:ilvl w:val="0"/>
          <w:numId w:val="1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fondos sin personalidad jurídica.</w:t>
      </w:r>
    </w:p>
    <w:p>
      <w:pPr>
        <w:numPr>
          <w:ilvl w:val="0"/>
          <w:numId w:val="1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fundaciones públicas.</w:t>
      </w:r>
    </w:p>
    <w:p>
      <w:pPr>
        <w:numPr>
          <w:ilvl w:val="0"/>
          <w:numId w:val="13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mutuas colaboradoras con la Seguridad Social.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A efectos de la LCSP, se entiende por fundaciones públicas aquellas que reúnan, entre otros, el siguiente requisito: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Que una parte de derechos de voto en su patronato corresponda a representantes del sector público.</w:t>
      </w:r>
    </w:p>
    <w:p>
      <w:pPr>
        <w:numPr>
          <w:ilvl w:val="0"/>
          <w:numId w:val="1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Que el patrimonio de la fundación esté integrado en más de un 50 por ciento por bienes o derechos aportados o cedidos por sujetos integrantes del sector público con carácter permanente.</w:t>
      </w:r>
    </w:p>
    <w:p>
      <w:pPr>
        <w:numPr>
          <w:ilvl w:val="0"/>
          <w:numId w:val="1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Que el patrimonio de la fundación esté integrado en un 50 por ciento por bienes o derechos aportados o cedidos por sujetos integrantes del sector público con carácter permanente.</w:t>
      </w:r>
    </w:p>
    <w:p>
      <w:pPr>
        <w:numPr>
          <w:ilvl w:val="0"/>
          <w:numId w:val="14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Ninguna de las anteriores respuestas es correcta.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Como novedad en la LCSP se incluyen también en su ámbito de aplicación: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partidos políticos.</w:t>
      </w:r>
    </w:p>
    <w:p>
      <w:pPr>
        <w:numPr>
          <w:ilvl w:val="0"/>
          <w:numId w:val="1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sindicatos.</w:t>
      </w:r>
    </w:p>
    <w:p>
      <w:pPr>
        <w:numPr>
          <w:ilvl w:val="0"/>
          <w:numId w:val="1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organizaciones empresariales y asociaciones profesionales.</w:t>
      </w:r>
    </w:p>
    <w:p>
      <w:pPr>
        <w:numPr>
          <w:ilvl w:val="0"/>
          <w:numId w:val="15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Todas las respuestas anteriores son correctas.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En función del artículo 4 de la LCSP las relaciones jurídicas, negocios y contratos excluidos del ámbito de la LCSP se regirán por: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Sus normas especiales en exclusiva.</w:t>
      </w:r>
    </w:p>
    <w:p>
      <w:pPr>
        <w:numPr>
          <w:ilvl w:val="0"/>
          <w:numId w:val="1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anexos especiales incluidos en la LCSP.</w:t>
      </w:r>
    </w:p>
    <w:p>
      <w:pPr>
        <w:numPr>
          <w:ilvl w:val="0"/>
          <w:numId w:val="1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Sus normas especiales, aplicándose los principios de la LCSP para resolver las dudas y lagunas que pudieran presentarse.</w:t>
      </w:r>
    </w:p>
    <w:p>
      <w:pPr>
        <w:numPr>
          <w:ilvl w:val="0"/>
          <w:numId w:val="16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Ninguna de las anteriores respuestas es correcta.</w:t>
      </w:r>
    </w:p>
    <w:p>
      <w:pPr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br w:type="page" w:clear="all"/>
      </w: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Quedan excluidos de la LCSP en el ámbito de la Defensa y de la Seguridad las relaciones jurídicas, negocios y contratos: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De concesiones de obras y concesiones de servicios, que se celebren en el ámbito de la seguridad y la defensa y que sean adjudicados en el marco de un programa de cooperación basado en la investigación y el desarrollo de un nuevo producto.</w:t>
      </w:r>
    </w:p>
    <w:p>
      <w:pPr>
        <w:numPr>
          <w:ilvl w:val="0"/>
          <w:numId w:val="1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contratos y convenios que se celebren en los ámbitos de la defensa o de la seguridad y que deban adjudicarse mediante un procedimiento de contratación específico que haya sido establecido en virtud de un acuerdo o convenio internacional relativo al estacionamiento de tropas y que se refiera a las empresas de un Estado miembro de la Unión Europea.</w:t>
      </w:r>
    </w:p>
    <w:p>
      <w:pPr>
        <w:numPr>
          <w:ilvl w:val="0"/>
          <w:numId w:val="1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Las concesiones que se adjudiquen a otro Estado en relación con obras y servicios directamente relacionados con el equipo obras y militar sensible, y servicios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específicamente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con fines militares,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u obras y servicios sensibles.</w:t>
      </w:r>
    </w:p>
    <w:p>
      <w:pPr>
        <w:numPr>
          <w:ilvl w:val="0"/>
          <w:numId w:val="18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Todas las respuestas anteriores son correctas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En función del artículo 6 de la LCSP, ¿están incluidas en el ámbito de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encomiendas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 de gestión reguladas en la Ley 4012015, de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1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 de octubre, de Régimen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Jurídico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 del Sector Público?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Están excluidas de la LCSP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244" cy="18293"/>
                <wp:effectExtent l="0" t="0" r="0" b="0"/>
                <wp:docPr id="1" name="Picture 255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42" name="Picture 25542"/>
                        <pic:cNvPicPr/>
                        <pic:nv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15244" cy="18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.20pt;height:1.44pt;mso-wrap-distance-left:0.00pt;mso-wrap-distance-top:0.00pt;mso-wrap-distance-right:0.00pt;mso-wrap-distance-bottom:0.00pt;z-index:1;" stroked="false">
                <v:imagedata r:id="rId7" o:title=""/>
                <o:lock v:ext="edit" rotation="t"/>
              </v:shape>
            </w:pict>
          </mc:Fallback>
        </mc:AlternateContent>
      </w:r>
    </w:p>
    <w:p>
      <w:pPr>
        <w:numPr>
          <w:ilvl w:val="0"/>
          <w:numId w:val="1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Sí.</w:t>
      </w:r>
    </w:p>
    <w:p>
      <w:pPr>
        <w:numPr>
          <w:ilvl w:val="0"/>
          <w:numId w:val="1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Sí, siempre que su contenido no esté comprendido en el de los contratos regulados en la LCSP o en normas administrativas especiales.</w:t>
      </w:r>
    </w:p>
    <w:p>
      <w:pPr>
        <w:numPr>
          <w:ilvl w:val="0"/>
          <w:numId w:val="19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Sí, excepto algunos casos.</w:t>
      </w:r>
    </w:p>
    <w:p>
      <w:pPr>
        <w:spacing w:after="0" w:line="240" w:lineRule="auto"/>
        <w:ind w:left="720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La exclusión de los convenios del ámbito de la LCSP queda condicionada, entre otras causas, a que las entidades intervinientes no tengan vocación de mercado, la cual se presumirá cuando realicen en el mercado abierto un porcentaje: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Igual o superior al 20 por ciento de las actividades objeto de colaboración.</w:t>
      </w:r>
    </w:p>
    <w:p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Igual o superior al 30 por ciento de las actividades objeto de colaboración.</w:t>
      </w:r>
    </w:p>
    <w:p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Igual o superior al 40 por ciento de las actividades objeto de colaboración.</w:t>
      </w:r>
    </w:p>
    <w:p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Igual o superior al 50 por ciento de las actividades objeto de colaboración.</w:t>
      </w:r>
    </w:p>
    <w:p>
      <w:pPr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br w:type="page" w:clear="all"/>
      </w: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En relación a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 los negocios jurídicos y contratos excluidos en el ámbito internacional se excluyen del ámbito de la LCSP: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acuerdos que celebre el Estado con otros Estados.</w:t>
      </w:r>
    </w:p>
    <w:p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acuerdos que celebre el Estado con sujetos de derechos internacional.</w:t>
      </w:r>
    </w:p>
    <w:p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contratos que deban adjudicarse de conformidad con un procedimiento de contratación específico que haya sido establecido en virtud de las normas de contratación aprobadas por una organización internacional o por una institución financiera internacional, siempre y cuando estén financiados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íntegramente o mayoritariamente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 por esa institución.</w:t>
      </w:r>
    </w:p>
    <w:p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Todas las respuestas anteriores son correctas.</w:t>
      </w:r>
    </w:p>
    <w:p>
      <w:pPr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numPr>
          <w:ilvl w:val="0"/>
          <w:numId w:val="1"/>
        </w:numPr>
        <w:spacing w:after="0" w:line="240" w:lineRule="auto"/>
        <w:contextualSpacing w:val="true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Como norma general los contratos de investigación, el desarrollo y la innovación se excluyen del ámbito de la LCSP, excepto aquellos que: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</w:p>
    <w:p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Estén incluidos en determinados códigos CPV relacionados en el artículo 8 de la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LCSP, y que además los beneficios pertenezcan exclusivamente al poder adjudicador para su utilización en el ejercicio de su propia actividad y que el servicio prestado sea remunerado íntegramente por el poder adjudicador.</w:t>
      </w:r>
    </w:p>
    <w:p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Estén incluidos en determinados códigos CPV relacionados en el artículo 8 de la LCSP, y que además los beneficios pertenezcan exclusivamente al poder adjudicador para su utilización en el ejercicio de su propia actividad.</w:t>
      </w:r>
    </w:p>
    <w:p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Estén incluidos en determinados códigos CPV relacionados en el artículo 8 de la LCSP.</w:t>
      </w:r>
    </w:p>
    <w:p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  <w:lang w:eastAsia="es-ES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ES"/>
        </w:rPr>
        <w:t xml:space="preserve">Los contratos de Investigación, Desarrollo y la Innovación se incluyen todos en el ámbito de la LCSP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50"/>
      </w:tblGrid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</w:tbl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>
      <w:pgSz w:h="16838" w:w="11906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2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3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4">
    <w:multiLevelType w:val="hybridMultilevel"/>
    <w:lvl w:ilvl="0" w:tplc="FFFFFFFF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FFFFFFFF">
      <w:lvlJc w:val="left"/>
      <w:lvlText w:val="%2."/>
      <w:numFmt w:val="lowerLetter"/>
      <w:pPr>
        <w:ind w:hanging="360" w:left="1440"/>
      </w:pPr>
      <w:start w:val="1"/>
    </w:lvl>
    <w:lvl w:ilvl="2" w:tentative="true" w:tplc="FFFFFFFF">
      <w:lvlJc w:val="right"/>
      <w:lvlText w:val="%3."/>
      <w:numFmt w:val="lowerRoman"/>
      <w:pPr>
        <w:ind w:hanging="180" w:left="2160"/>
      </w:pPr>
      <w:start w:val="1"/>
    </w:lvl>
    <w:lvl w:ilvl="3" w:tentative="true" w:tplc="FFFFFFFF">
      <w:lvlJc w:val="left"/>
      <w:lvlText w:val="%4."/>
      <w:numFmt w:val="decimal"/>
      <w:pPr>
        <w:ind w:hanging="360" w:left="2880"/>
      </w:pPr>
      <w:start w:val="1"/>
    </w:lvl>
    <w:lvl w:ilvl="4" w:tentative="true" w:tplc="FFFFFFFF">
      <w:lvlJc w:val="left"/>
      <w:lvlText w:val="%5."/>
      <w:numFmt w:val="lowerLetter"/>
      <w:pPr>
        <w:ind w:hanging="360" w:left="3600"/>
      </w:pPr>
      <w:start w:val="1"/>
    </w:lvl>
    <w:lvl w:ilvl="5" w:tentative="true" w:tplc="FFFFFFFF">
      <w:lvlJc w:val="right"/>
      <w:lvlText w:val="%6."/>
      <w:numFmt w:val="lowerRoman"/>
      <w:pPr>
        <w:ind w:hanging="180" w:left="4320"/>
      </w:pPr>
      <w:start w:val="1"/>
    </w:lvl>
    <w:lvl w:ilvl="6" w:tentative="true" w:tplc="FFFFFFFF">
      <w:lvlJc w:val="left"/>
      <w:lvlText w:val="%7."/>
      <w:numFmt w:val="decimal"/>
      <w:pPr>
        <w:ind w:hanging="360" w:left="5040"/>
      </w:pPr>
      <w:start w:val="1"/>
    </w:lvl>
    <w:lvl w:ilvl="7" w:tentative="true" w:tplc="FFFFFFFF">
      <w:lvlJc w:val="left"/>
      <w:lvlText w:val="%8."/>
      <w:numFmt w:val="lowerLetter"/>
      <w:pPr>
        <w:ind w:hanging="360" w:left="5760"/>
      </w:pPr>
      <w:start w:val="1"/>
    </w:lvl>
    <w:lvl w:ilvl="8" w:tentative="true" w:tplc="FFFFFFFF">
      <w:lvlJc w:val="right"/>
      <w:lvlText w:val="%9."/>
      <w:numFmt w:val="lowerRoman"/>
      <w:pPr>
        <w:ind w:hanging="180" w:left="6480"/>
      </w:pPr>
      <w:start w:val="1"/>
    </w:lvl>
  </w:abstractNum>
  <w:abstractNum w:abstractNumId="5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6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7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8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9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0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1">
    <w:multiLevelType w:val="hybridMultilevel"/>
    <w:lvl w:ilvl="0" w:tplc="FFFFFFFF">
      <w:lvlJc w:val="left"/>
      <w:lvlText w:val="%1."/>
      <w:numFmt w:val="decimal"/>
      <w:pPr>
        <w:ind w:hanging="360" w:left="720"/>
      </w:pPr>
      <w:start w:val="1"/>
    </w:lvl>
    <w:lvl w:ilvl="1" w:tentative="true" w:tplc="FFFFFFFF">
      <w:lvlJc w:val="left"/>
      <w:lvlText w:val="%2."/>
      <w:numFmt w:val="lowerLetter"/>
      <w:pPr>
        <w:ind w:hanging="360" w:left="1440"/>
      </w:pPr>
      <w:start w:val="1"/>
    </w:lvl>
    <w:lvl w:ilvl="2" w:tentative="true" w:tplc="FFFFFFFF">
      <w:lvlJc w:val="right"/>
      <w:lvlText w:val="%3."/>
      <w:numFmt w:val="lowerRoman"/>
      <w:pPr>
        <w:ind w:hanging="180" w:left="2160"/>
      </w:pPr>
      <w:start w:val="1"/>
    </w:lvl>
    <w:lvl w:ilvl="3" w:tentative="true" w:tplc="FFFFFFFF">
      <w:lvlJc w:val="left"/>
      <w:lvlText w:val="%4."/>
      <w:numFmt w:val="decimal"/>
      <w:pPr>
        <w:ind w:hanging="360" w:left="2880"/>
      </w:pPr>
      <w:start w:val="1"/>
    </w:lvl>
    <w:lvl w:ilvl="4" w:tentative="true" w:tplc="FFFFFFFF">
      <w:lvlJc w:val="left"/>
      <w:lvlText w:val="%5."/>
      <w:numFmt w:val="lowerLetter"/>
      <w:pPr>
        <w:ind w:hanging="360" w:left="3600"/>
      </w:pPr>
      <w:start w:val="1"/>
    </w:lvl>
    <w:lvl w:ilvl="5" w:tentative="true" w:tplc="FFFFFFFF">
      <w:lvlJc w:val="right"/>
      <w:lvlText w:val="%6."/>
      <w:numFmt w:val="lowerRoman"/>
      <w:pPr>
        <w:ind w:hanging="180" w:left="4320"/>
      </w:pPr>
      <w:start w:val="1"/>
    </w:lvl>
    <w:lvl w:ilvl="6" w:tentative="true" w:tplc="FFFFFFFF">
      <w:lvlJc w:val="left"/>
      <w:lvlText w:val="%7."/>
      <w:numFmt w:val="decimal"/>
      <w:pPr>
        <w:ind w:hanging="360" w:left="5040"/>
      </w:pPr>
      <w:start w:val="1"/>
    </w:lvl>
    <w:lvl w:ilvl="7" w:tentative="true" w:tplc="FFFFFFFF">
      <w:lvlJc w:val="left"/>
      <w:lvlText w:val="%8."/>
      <w:numFmt w:val="lowerLetter"/>
      <w:pPr>
        <w:ind w:hanging="360" w:left="5760"/>
      </w:pPr>
      <w:start w:val="1"/>
    </w:lvl>
    <w:lvl w:ilvl="8" w:tentative="true" w:tplc="FFFFFFFF">
      <w:lvlJc w:val="right"/>
      <w:lvlText w:val="%9."/>
      <w:numFmt w:val="lowerRoman"/>
      <w:pPr>
        <w:ind w:hanging="180" w:left="6480"/>
      </w:pPr>
      <w:start w:val="1"/>
    </w:lvl>
  </w:abstractNum>
  <w:abstractNum w:abstractNumId="12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3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4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5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6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7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8">
    <w:multiLevelType w:val="hybridMultilevel"/>
    <w:lvl w:ilvl="0" w:tplc="0C0A000F">
      <w:lvlJc w:val="left"/>
      <w:lvlText w:val="%1."/>
      <w:numFmt w:val="decimal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9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20">
    <w:multiLevelType w:val="hybridMultilevel"/>
    <w:lvl w:ilvl="0" w:tplc="FFFFFFFF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FFFFFFFF">
      <w:lvlJc w:val="left"/>
      <w:lvlText w:val="%2."/>
      <w:numFmt w:val="lowerLetter"/>
      <w:pPr>
        <w:ind w:hanging="360" w:left="1440"/>
      </w:pPr>
      <w:start w:val="1"/>
    </w:lvl>
    <w:lvl w:ilvl="2" w:tentative="true" w:tplc="FFFFFFFF">
      <w:lvlJc w:val="right"/>
      <w:lvlText w:val="%3."/>
      <w:numFmt w:val="lowerRoman"/>
      <w:pPr>
        <w:ind w:hanging="180" w:left="2160"/>
      </w:pPr>
      <w:start w:val="1"/>
    </w:lvl>
    <w:lvl w:ilvl="3" w:tentative="true" w:tplc="FFFFFFFF">
      <w:lvlJc w:val="left"/>
      <w:lvlText w:val="%4."/>
      <w:numFmt w:val="decimal"/>
      <w:pPr>
        <w:ind w:hanging="360" w:left="2880"/>
      </w:pPr>
      <w:start w:val="1"/>
    </w:lvl>
    <w:lvl w:ilvl="4" w:tentative="true" w:tplc="FFFFFFFF">
      <w:lvlJc w:val="left"/>
      <w:lvlText w:val="%5."/>
      <w:numFmt w:val="lowerLetter"/>
      <w:pPr>
        <w:ind w:hanging="360" w:left="3600"/>
      </w:pPr>
      <w:start w:val="1"/>
    </w:lvl>
    <w:lvl w:ilvl="5" w:tentative="true" w:tplc="FFFFFFFF">
      <w:lvlJc w:val="right"/>
      <w:lvlText w:val="%6."/>
      <w:numFmt w:val="lowerRoman"/>
      <w:pPr>
        <w:ind w:hanging="180" w:left="4320"/>
      </w:pPr>
      <w:start w:val="1"/>
    </w:lvl>
    <w:lvl w:ilvl="6" w:tentative="true" w:tplc="FFFFFFFF">
      <w:lvlJc w:val="left"/>
      <w:lvlText w:val="%7."/>
      <w:numFmt w:val="decimal"/>
      <w:pPr>
        <w:ind w:hanging="360" w:left="5040"/>
      </w:pPr>
      <w:start w:val="1"/>
    </w:lvl>
    <w:lvl w:ilvl="7" w:tentative="true" w:tplc="FFFFFFFF">
      <w:lvlJc w:val="left"/>
      <w:lvlText w:val="%8."/>
      <w:numFmt w:val="lowerLetter"/>
      <w:pPr>
        <w:ind w:hanging="360" w:left="5760"/>
      </w:pPr>
      <w:start w:val="1"/>
    </w:lvl>
    <w:lvl w:ilvl="8" w:tentative="true" w:tplc="FFFFFFFF">
      <w:lvlJc w:val="right"/>
      <w:lvlText w:val="%9."/>
      <w:numFmt w:val="lowerRoman"/>
      <w:pPr>
        <w:ind w:hanging="180" w:left="6480"/>
      </w:pPr>
      <w:start w:val="1"/>
    </w:lvl>
  </w:abstractNum>
  <w:abstractNum w:abstractNumId="21">
    <w:multiLevelType w:val="hybridMultilevel"/>
    <w:lvl w:ilvl="0" w:tplc="FB860EE4">
      <w:lvlJc w:val="left"/>
      <w:lvlText w:val="%1)"/>
      <w:numFmt w:val="lowerLetter"/>
      <w:pPr>
        <w:ind w:hanging="360" w:left="720"/>
      </w:pPr>
      <w:rPr>
        <w:rFonts w:hint="default" w:ascii="Arial" w:hAnsi="Arial"/>
        <w:sz w:val="24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18"/>
  </w:num>
  <w:num w:numId="2">
    <w:abstractNumId w:val="17"/>
  </w:num>
  <w:num w:numId="3">
    <w:abstractNumId w:val="3"/>
  </w:num>
  <w:num w:numId="4">
    <w:abstractNumId w:val="14"/>
  </w:num>
  <w:num w:numId="5">
    <w:abstractNumId w:val="19"/>
  </w:num>
  <w:num w:numId="6">
    <w:abstractNumId w:val="0"/>
  </w:num>
  <w:num w:numId="7">
    <w:abstractNumId w:val="16"/>
  </w:num>
  <w:num w:numId="8">
    <w:abstractNumId w:val="5"/>
  </w:num>
  <w:num w:numId="9">
    <w:abstractNumId w:val="1"/>
  </w:num>
  <w:num w:numId="10">
    <w:abstractNumId w:val="7"/>
  </w:num>
  <w:num w:numId="11">
    <w:abstractNumId w:val="9"/>
  </w:num>
  <w:num w:numId="12">
    <w:abstractNumId w:val="8"/>
  </w:num>
  <w:num w:numId="13">
    <w:abstractNumId w:val="12"/>
  </w:num>
  <w:num w:numId="14">
    <w:abstractNumId w:val="21"/>
  </w:num>
  <w:num w:numId="15">
    <w:abstractNumId w:val="15"/>
  </w:num>
  <w:num w:numId="16">
    <w:abstractNumId w:val="6"/>
  </w:num>
  <w:num w:numId="17">
    <w:abstractNumId w:val="11"/>
  </w:num>
  <w:num w:numId="18">
    <w:abstractNumId w:val="20"/>
  </w:num>
  <w:num w:numId="19">
    <w:abstractNumId w:val="4"/>
  </w:num>
  <w:num w:numId="20">
    <w:abstractNumId w:val="10"/>
  </w:num>
  <w:num w:numId="21">
    <w:abstractNumId w:val="13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 w:val="true"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ONLYOFFICE/7.5.0.127</Application>
  <Characters>7670</Characters>
  <CharactersWithSpaces>9046</CharactersWithSpaces>
  <Company/>
  <DocSecurity>0</DocSecurity>
  <HyperlinksChanged>false</HyperlinksChanged>
  <Lines>63</Lines>
  <LinksUpToDate>false</LinksUpToDate>
  <Pages>6</Pages>
  <Paragraphs>18</Paragraphs>
  <ScaleCrop>false</ScaleCrop>
  <SharedDoc>false</SharedDoc>
  <Template>Normal.dotm</Template>
  <TotalTime>6</TotalTime>
  <Words>1394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Rosario Díaz Calderón</dc:creator>
  <cp:keywords/>
  <dc:description/>
  <cp:lastModifiedBy>María del Rosario Díaz Calderón</cp:lastModifiedBy>
  <cp:revision>1</cp:revision>
  <dcterms:created xsi:type="dcterms:W3CDTF">2024-04-25T14:27:00Z</dcterms:created>
  <dcterms:modified xsi:type="dcterms:W3CDTF">2024-04-25T14:34:00Z</dcterms:modified>
</cp:coreProperties>
</file>