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Contra las resoluciones dictadas en el procedimiento de establecimiento de medidas cautelares previas al recurso especial en materia de contratación: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No cabe recurso alguno, ni tampoco contra las resoluciones que se dicten en el procedimiento principal.</w:t>
      </w:r>
    </w:p>
    <w:p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cabe recurso alguno, sin perjuicio de los que procedan contra las resoluciones que se dicten en el procedimiento principal.</w:t>
      </w:r>
    </w:p>
    <w:p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Cabe recurso potestativo de reposición.</w:t>
      </w:r>
    </w:p>
    <w:p>
      <w:pPr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Cabe recurso de alzada.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Cuando de la adopción de las medidas cautelares previas al recurso especial en materia de contratación puedan derivarse perjuicios de cualquier naturaleza, la resolución: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podrá imponer una caución o garantía suficiente para responder de ellos.</w:t>
      </w:r>
    </w:p>
    <w:p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Deberá suspender el procedimiento.</w:t>
      </w:r>
    </w:p>
    <w:p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Puede recomendar la suspensión del procedimiento.</w:t>
      </w:r>
    </w:p>
    <w:p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Podrá imponer una caución o garantía suficiente para responder de ellos.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procedimiento de recurso especial de contratación se iniciará mediante escrito que deberá presentarse en el plazo de: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Cinco días hábiles.</w:t>
      </w:r>
    </w:p>
    <w:p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Diez días hábiles.</w:t>
      </w:r>
    </w:p>
    <w:p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Quince días hábiles.</w:t>
      </w:r>
    </w:p>
    <w:p>
      <w:pPr>
        <w:numPr>
          <w:ilvl w:val="0"/>
          <w:numId w:val="1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mes.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Cuando se interponga el recurso especial en materia de contratación contra el anuncio de licitación el plazo para la iniciación del procedimiento empezará a contarse: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mismo día de su publicación en el perfil del contratante.</w:t>
      </w:r>
    </w:p>
    <w:p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partir del día siguiente al de su publicación en el perfil del contratante.</w:t>
      </w:r>
    </w:p>
    <w:p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partir del día siguiente a aquel en que se haya tenido conocimiento de la posible infracción.</w:t>
      </w:r>
    </w:p>
    <w:p>
      <w:pPr>
        <w:numPr>
          <w:ilvl w:val="0"/>
          <w:numId w:val="2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partir del día siguiente al de la notificación realizada de conformidad con lo dispuesto en la Disposición adicional 15 de la LCSP.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Cuando se interponga el recurso especial en materia de contratación contra el contenido de los pliegos y demás documentos contractuales el plazo para la iniciación del procedimiento del recurso empezará a contarse: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a) Si se ha indicado la forma en que los interesados pueden acceder a ellos, el cómputo se iniciará a partir del día siguiente a aquel en que se haya publicado en el perfil del contratante el anuncio de licitación.</w:t>
      </w:r>
    </w:p>
    <w:p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Si no se ha indicado la forma en que los interesados pueden acceder a ellos, el plazo se iniciará a contar a partir del día siguiente a aquel en que se le hayan entregado al interesado los mismos.</w:t>
      </w:r>
    </w:p>
    <w:p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Si no se ha indicado la forma en que los interesados pueden acceder a ellos, el plazo se iniciará a contar a partir del día siguiente a aquel en que el interesado haya podido acceder a su contenido a través del perfil del contratante.</w:t>
      </w:r>
    </w:p>
    <w:p>
      <w:pPr>
        <w:spacing w:after="0" w:line="240" w:lineRule="auto"/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 Todas las respuestas anteriores son correctas.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escrito de interposición de un recurso especial de contratación no es preceptivo incluir: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Constancia del acto recurrido.</w:t>
      </w:r>
    </w:p>
    <w:p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normativa en que basa su pretensión.</w:t>
      </w:r>
    </w:p>
    <w:p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documento que acredite la representación del compareciente, en su caso.</w:t>
      </w:r>
    </w:p>
    <w:p>
      <w:pPr>
        <w:numPr>
          <w:ilvl w:val="1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documento o documentos en que funde su derecho.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Para la subsanación de los defectos que puedan afectar al escrito de un recurso especial de contratación se requerirá al interesado a fin de que subsane la falta o </w:t>
      </w: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9" cy="4568"/>
                <wp:effectExtent l="0" t="0" r="0" b="0"/>
                <wp:docPr id="1" name="Picture 3959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590" name="Picture 39590"/>
                        <pic:cNvPicPr/>
                        <pic:nv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4569" cy="4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0.36pt;height:0.36pt;mso-wrap-distance-left:0.00pt;mso-wrap-distance-top:0.00pt;mso-wrap-distance-right:0.00pt;mso-wrap-distance-bottom:0.00pt;z-index:1;" stroked="false">
                <v:imagedata r:id="rId7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acompañe los documentos preceptivos, en un plazo de: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día hábil desde el siguiente a su notificación.</w:t>
      </w:r>
    </w:p>
    <w:p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días hábiles desde el siguiente a su notificación.</w:t>
      </w:r>
    </w:p>
    <w:p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Tres días hábiles desde el siguiente a su notificación.</w:t>
      </w:r>
    </w:p>
    <w:p>
      <w:pPr>
        <w:numPr>
          <w:ilvl w:val="1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Diez días hábiles desde el siguiente a su notificación.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escrito de interposición de un recurso especial de contratación podrá presentarse: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1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los lugares establecidos en el artículo 16.4 de la Ley 39/2015, de 1 de octubre, del Procedimiento Administrativo Común.</w:t>
      </w:r>
    </w:p>
    <w:p>
      <w:pPr>
        <w:numPr>
          <w:ilvl w:val="1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registro del órgano de contratación.</w:t>
      </w:r>
    </w:p>
    <w:p>
      <w:pPr>
        <w:numPr>
          <w:ilvl w:val="1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registro del órgano competente para la resolución del recurso.</w:t>
      </w:r>
    </w:p>
    <w:p>
      <w:pPr>
        <w:numPr>
          <w:ilvl w:val="1"/>
          <w:numId w:val="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Todas las respuestas anteriores son correctas.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caso que una persona física o jurídica legitimada solicite examinar el expediente de contratación de forma previa a la interposición del recurso especial de contratación el órgano de contratación debe facilitar dicho acceso en un plazo de: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Cinco días hábiles a la recepción de la solicitud.</w:t>
      </w:r>
    </w:p>
    <w:p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Diez días hábiles a la recepción de la solicitud.</w:t>
      </w:r>
    </w:p>
    <w:p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Quince días hábiles a la recepción de la solicitud.</w:t>
      </w:r>
    </w:p>
    <w:p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Veinte días hábiles a la recepción de la solicitud.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presentación de una solicitud de acceso a un expediente de contratación de forma previa a la interposición del recurso especial: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Paralizará el plazo de interposición del recurso especial.</w:t>
      </w:r>
    </w:p>
    <w:p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paralizará en ningún caso el plazo de interposición del recurso especial.</w:t>
      </w:r>
    </w:p>
    <w:p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Paralizará el plazo de interposición del recurso especial en algunos casos. </w:t>
      </w:r>
    </w:p>
    <w:p>
      <w:pPr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Ninguna de las anteriores respuestas es correcta.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interpuesto el recurso especial de contratación: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1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Seguirá la tramitación normal.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Quedará en suspenso la tramitación del procedimiento cuando el acto recurrido sea el de adjudicación.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Quedará en suspenso la tramitación del procedimiento cuando el acto recurrido sea el de adjudicación, salvo en el supuesto de contratos basados en un acuerdo marco o de contratos específicos en el marco de un sistema dinámico de adquisición.</w:t>
      </w:r>
    </w:p>
    <w:p>
      <w:pPr>
        <w:numPr>
          <w:ilvl w:val="1"/>
          <w:numId w:val="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Quedará en suspenso la tramitación del procedimiento durante diez días hábiles.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ámbito de la contratación pública las comunicaciones y el intercambio de documentación entre los órganos competentes para la resolución de los recursos, los órganos de contratación y los interesados en el procedimiento se harán: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forma escrita.</w:t>
      </w:r>
    </w:p>
    <w:p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 medios electrónicos.</w:t>
      </w:r>
    </w:p>
    <w:p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forma escrita o por medios electrónicos.</w:t>
      </w:r>
    </w:p>
    <w:p>
      <w:pPr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Ninguna de las anteriores respuestas es correcta.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Señale la respuesta incorrecta. Tras la reclamación y examen del expediente administrativo, el órgano encargado de resolver un recurso especial en materia de contratación podrá declarar su inadmisión en los siguientes supuestos: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Cuando sea incompetente el órgano para conocer del recurso.</w:t>
      </w:r>
    </w:p>
    <w:p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interposición del recurso fuera de plazo.</w:t>
      </w:r>
    </w:p>
    <w:p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Haberse interpuesto el recurso contra actos no susceptibles de impugnación de conformidad con lo dispuesto en el artículo 54 de la LCSP.</w:t>
      </w:r>
    </w:p>
    <w:p>
      <w:pPr>
        <w:numPr>
          <w:ilvl w:val="0"/>
          <w:numId w:val="1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falta de acreditación de la representación de la persona que interpone el recurso en nombre de otra.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Según el artículo 56 de la LCSP, el procedimiento para tramitar los recursos especiales en materia de contratación se regirá por: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disposiciones de la Ley 39/2015, de 1 de octubre, del Procedimiento Administrativo Común de las Administraciones Públicas, con las especialidades que se recogen en la LCSP.</w:t>
      </w:r>
    </w:p>
    <w:p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disposiciones de la Ley 40/2015, de 1 de octubre, del Procedimiento Administrativo Común de las Administraciones Públicas, con las especialidades que se recogen en la LCSP.</w:t>
      </w:r>
    </w:p>
    <w:p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disposiciones de la Ley 39/2015, de 1 de octubre, del Procedimiento Administrativo Común de las Administraciones Públicas.</w:t>
      </w:r>
    </w:p>
    <w:p>
      <w:pPr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disposiciones de la Ley 39/2015, de 1 de octubre, del Procedimiento Administrativo Común de las Administraciones Públicas, con las especialidades que se recogen en la LCSP y la normativa específica de cada Administración.</w:t>
      </w:r>
    </w:p>
    <w:p>
      <w:pPr>
        <w:spacing w:after="0" w:line="240" w:lineRule="auto"/>
        <w:ind w:left="683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interpuesto el recurso especial de contratación el órgano o servicio autor del acto impugnado deberá remitir el expediente de contratación al órgano competente para su resolución en un plazo de: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Cuatro días.</w:t>
      </w:r>
    </w:p>
    <w:p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Tres días.</w:t>
      </w:r>
    </w:p>
    <w:p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días hábiles.</w:t>
      </w:r>
    </w:p>
    <w:p>
      <w:pPr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Cinco días hábiles.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resolución del recurso especial en materia de contratación, y en relación a las cuestiones que se hubiesen planteado: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decidirán motivadamente.</w:t>
      </w:r>
    </w:p>
    <w:p>
      <w:pPr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será necesaria la motivación.</w:t>
      </w:r>
    </w:p>
    <w:p>
      <w:pPr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estimarán o desestimarán en todo.</w:t>
      </w:r>
    </w:p>
    <w:p>
      <w:pPr>
        <w:numPr>
          <w:ilvl w:val="1"/>
          <w:numId w:val="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Las respuestas a y c son correctas.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el caso de que el órgano competente en materia de recursos especiales de contratación aprecie temeridad o mala fe en la interposición del recurso o en la solicitud de medidas cautelares podrá: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5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Acordar la imposición de una multa al responsable de la misma, entre 1.000 y 30.000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euros. </w:t>
      </w:r>
    </w:p>
    <w:p>
      <w:pPr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b) Acordar la imposición de una multa al responsable de la misma, entre 1.000 y 3.000 euros. </w:t>
      </w:r>
    </w:p>
    <w:p>
      <w:pPr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c) Acordar la imposición de una multa al responsable de la misma, entre 1.000 y 6.000 euros.</w:t>
      </w:r>
    </w:p>
    <w:p>
      <w:pPr>
        <w:spacing w:after="0" w:line="240" w:lineRule="auto"/>
        <w:ind w:left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d) No admitir a trámite el recurso.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órgano competente para la resolución de un recurso especial en materia de contratación podrá imponer a la entidad contratante la obligación de indemnizar a la persona interesada por los daños y perjuicios que le haya podido ocasionar la infracción legal que hubiese dado lugar al recurso. La cuantía de la indemnización se fijará atendiendo en lo posible a lo establecido en: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Ley 39/2015, de 1 de octubre, del Procedimiento Administrativo Común de las Administraciones Públicas.</w:t>
      </w:r>
    </w:p>
    <w:p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Ley 40/2015, de 1 de octubre, de Régimen Jurídico del Sector Público.</w:t>
      </w:r>
    </w:p>
    <w:p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 Decreto Legislativo 2/2004, de 5 de marzo, por el que se aprueba el texto refundido de la Ley Reguladora de las Haciendas Locales.</w:t>
      </w:r>
    </w:p>
    <w:p>
      <w:pPr>
        <w:numPr>
          <w:ilvl w:val="0"/>
          <w:numId w:val="16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Ninguna de las anteriores respuestas es correcta.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Señale la respuesta incorrecta. En relación a los efectos de la resolución del recurso especial en materia de contratación: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resolución será directamente ejecutiva.</w:t>
      </w:r>
    </w:p>
    <w:p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procederá la revisión de oficio de la resolución ni de ninguno de los actos dictados por los órganos competentes para la resolución del recurso.</w:t>
      </w:r>
    </w:p>
    <w:p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resolución y los actos dictados por los órganos competentes para la resolución del recurso estarán sujetos a fiscalización por los órganos de control interno de las Administraciones a que cada uno de ellos se encuentre adscrito.</w:t>
      </w:r>
    </w:p>
    <w:p>
      <w:pPr>
        <w:numPr>
          <w:ilvl w:val="0"/>
          <w:numId w:val="17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órganos competentes para la resolución del recurso podrán rectificar en cualquier momento los errores materiales, de </w:t>
      </w:r>
      <w:r>
        <w:rPr>
          <w:rFonts w:ascii="Arial" w:hAnsi="Arial" w:cs="Arial"/>
          <w:sz w:val="24"/>
          <w:szCs w:val="24"/>
        </w:rPr>
        <w:t xml:space="preserve">hecho</w:t>
      </w:r>
      <w:r>
        <w:rPr>
          <w:rFonts w:ascii="Arial" w:hAnsi="Arial" w:cs="Arial"/>
          <w:sz w:val="24"/>
          <w:szCs w:val="24"/>
        </w:rPr>
        <w:t xml:space="preserve"> o aritméticos existentes en sus actos, incluida la resolución del recurso.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p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Contra la resolución de un recurso especial en materia de contratación cabrá: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Recurso potestativo de reposición.</w:t>
      </w:r>
    </w:p>
    <w:p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Recurso de alzada.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708" cy="4568"/>
                <wp:effectExtent l="0" t="0" r="0" b="0"/>
                <wp:docPr id="2" name="Picture 779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72" name="Picture 77972"/>
                        <pic:cNvPicPr/>
                        <pic:nv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3708" cy="4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.08pt;height:0.36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</w:p>
    <w:p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Ningún tipo de recurso.</w:t>
      </w:r>
    </w:p>
    <w:p>
      <w:pPr>
        <w:numPr>
          <w:ilvl w:val="0"/>
          <w:numId w:val="18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Recurso contencioso-administrativo.</w:t>
      </w: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 w:clear="all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992"/>
      </w:tblGrid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  <w:tr>
        <w:tc>
          <w:tcPr>
            <w:tcW w:w="988" w:type="dxa"/>
          </w:tcPr>
          <w:p>
            <w:pPr>
              <w:numPr>
                <w:ilvl w:val="0"/>
                <w:numId w:val="2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92" w:type="dxa"/>
          </w:tcPr>
          <w:p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</w:t>
            </w:r>
          </w:p>
        </w:tc>
      </w:tr>
    </w:tbl>
    <w:p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>
      <w:pgSz w:h="16838" w:w="11906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 w:tplc="2AB6FA1E">
      <w:lvlJc w:val="left"/>
      <w:lvlText w:val="%1"/>
      <w:numFmt w:val="decimal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</w:lvl>
    <w:lvl w:ilvl="1" w:tplc="A18ACA92">
      <w:lvlJc w:val="left"/>
      <w:lvlText w:val="%2)"/>
      <w:numFmt w:val="lowerLetter"/>
      <w:pPr>
        <w:ind w:left="676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2"/>
    </w:lvl>
    <w:lvl w:ilvl="2" w:tplc="AF641D82">
      <w:lvlJc w:val="left"/>
      <w:lvlText w:val="%3"/>
      <w:numFmt w:val="lowerRoman"/>
      <w:pPr>
        <w:ind w:left="1382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</w:lvl>
    <w:lvl w:ilvl="3" w:tplc="52FC1EB4">
      <w:lvlJc w:val="left"/>
      <w:lvlText w:val="%4"/>
      <w:numFmt w:val="decimal"/>
      <w:pPr>
        <w:ind w:left="2102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</w:lvl>
    <w:lvl w:ilvl="4" w:tplc="5E3CB9DE">
      <w:lvlJc w:val="left"/>
      <w:lvlText w:val="%5"/>
      <w:numFmt w:val="lowerLetter"/>
      <w:pPr>
        <w:ind w:left="2822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</w:lvl>
    <w:lvl w:ilvl="5" w:tplc="031C87CC">
      <w:lvlJc w:val="left"/>
      <w:lvlText w:val="%6"/>
      <w:numFmt w:val="lowerRoman"/>
      <w:pPr>
        <w:ind w:left="3542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</w:lvl>
    <w:lvl w:ilvl="6" w:tplc="2D6E4652">
      <w:lvlJc w:val="left"/>
      <w:lvlText w:val="%7"/>
      <w:numFmt w:val="decimal"/>
      <w:pPr>
        <w:ind w:left="4262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</w:lvl>
    <w:lvl w:ilvl="7" w:tplc="0D04913C">
      <w:lvlJc w:val="left"/>
      <w:lvlText w:val="%8"/>
      <w:numFmt w:val="lowerLetter"/>
      <w:pPr>
        <w:ind w:left="4982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</w:lvl>
    <w:lvl w:ilvl="8" w:tplc="319EF106">
      <w:lvlJc w:val="left"/>
      <w:lvlText w:val="%9"/>
      <w:numFmt w:val="lowerRoman"/>
      <w:pPr>
        <w:ind w:left="5702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  <w:start w:val="1"/>
    </w:lvl>
  </w:abstractNum>
  <w:abstractNum w:abstractNumId="1">
    <w:multiLevelType w:val="hybridMultilevel"/>
    <w:lvl w:ilvl="0" w:tplc="A4447486">
      <w:lvlJc w:val="left"/>
      <w:lvlText w:val="%1"/>
      <w:numFmt w:val="decimal"/>
      <w:pPr>
        <w:ind w:left="3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1" w:tplc="F3187122">
      <w:lvlJc w:val="left"/>
      <w:lvlText w:val="%2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2" w:tplc="4174867C">
      <w:lvlJc w:val="left"/>
      <w:lvlText w:val="%3"/>
      <w:numFmt w:val="lowerRoman"/>
      <w:pPr>
        <w:ind w:left="140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3" w:tplc="A7C6F1CE">
      <w:lvlJc w:val="left"/>
      <w:lvlText w:val="%4"/>
      <w:numFmt w:val="decimal"/>
      <w:pPr>
        <w:ind w:left="212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4" w:tplc="F6C45096">
      <w:lvlJc w:val="left"/>
      <w:lvlText w:val="%5"/>
      <w:numFmt w:val="lowerLetter"/>
      <w:pPr>
        <w:ind w:left="284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5" w:tplc="0638E81C">
      <w:lvlJc w:val="left"/>
      <w:lvlText w:val="%6"/>
      <w:numFmt w:val="lowerRoman"/>
      <w:pPr>
        <w:ind w:left="356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6" w:tplc="03260B88">
      <w:lvlJc w:val="left"/>
      <w:lvlText w:val="%7"/>
      <w:numFmt w:val="decimal"/>
      <w:pPr>
        <w:ind w:left="428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7" w:tplc="9B221462">
      <w:lvlJc w:val="left"/>
      <w:lvlText w:val="%8"/>
      <w:numFmt w:val="lowerLetter"/>
      <w:pPr>
        <w:ind w:left="500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8" w:tplc="7BA4CB34">
      <w:lvlJc w:val="left"/>
      <w:lvlText w:val="%9"/>
      <w:numFmt w:val="lowerRoman"/>
      <w:pPr>
        <w:ind w:left="572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</w:abstractNum>
  <w:abstractNum w:abstractNumId="2">
    <w:multiLevelType w:val="hybridMultilevel"/>
    <w:lvl w:ilvl="0" w:tplc="6F86F7E4">
      <w:lvlJc w:val="left"/>
      <w:lvlText w:val="%1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3">
    <w:multiLevelType w:val="hybridMultilevel"/>
    <w:lvl w:ilvl="0" w:tplc="E572DA30">
      <w:lvlJc w:val="left"/>
      <w:lvlText w:val="%1."/>
      <w:numFmt w:val="decimal"/>
      <w:pPr>
        <w:ind w:left="1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29"/>
    </w:lvl>
    <w:lvl w:ilvl="1" w:tplc="125819FA">
      <w:lvlJc w:val="left"/>
      <w:lvlText w:val="%2)"/>
      <w:numFmt w:val="lowerLetter"/>
      <w:pPr>
        <w:ind w:left="676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2" w:tplc="DA942164">
      <w:lvlJc w:val="left"/>
      <w:lvlText w:val="%3"/>
      <w:numFmt w:val="lowerRoman"/>
      <w:pPr>
        <w:ind w:left="134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3" w:tplc="6A8E37E6">
      <w:lvlJc w:val="left"/>
      <w:lvlText w:val="%4"/>
      <w:numFmt w:val="decimal"/>
      <w:pPr>
        <w:ind w:left="206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4" w:tplc="D0388F0E">
      <w:lvlJc w:val="left"/>
      <w:lvlText w:val="%5"/>
      <w:numFmt w:val="lowerLetter"/>
      <w:pPr>
        <w:ind w:left="278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5" w:tplc="9B1E59E4">
      <w:lvlJc w:val="left"/>
      <w:lvlText w:val="%6"/>
      <w:numFmt w:val="lowerRoman"/>
      <w:pPr>
        <w:ind w:left="350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6" w:tplc="E9C84536">
      <w:lvlJc w:val="left"/>
      <w:lvlText w:val="%7"/>
      <w:numFmt w:val="decimal"/>
      <w:pPr>
        <w:ind w:left="422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7" w:tplc="7BD8B12A">
      <w:lvlJc w:val="left"/>
      <w:lvlText w:val="%8"/>
      <w:numFmt w:val="lowerLetter"/>
      <w:pPr>
        <w:ind w:left="494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8" w:tplc="2594FC40">
      <w:lvlJc w:val="left"/>
      <w:lvlText w:val="%9"/>
      <w:numFmt w:val="lowerRoman"/>
      <w:pPr>
        <w:ind w:left="5666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</w:abstractNum>
  <w:abstractNum w:abstractNumId="4">
    <w:multiLevelType w:val="hybridMultilevel"/>
    <w:lvl w:ilvl="0" w:tplc="B84836C6">
      <w:lvlJc w:val="left"/>
      <w:lvlText w:val="%1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5">
    <w:multiLevelType w:val="hybridMultilevel"/>
    <w:lvl w:ilvl="0" w:tplc="0C0A000F">
      <w:lvlJc w:val="left"/>
      <w:lvlText w:val="%1."/>
      <w:numFmt w:val="decimal"/>
      <w:pPr>
        <w:ind w:left="648"/>
      </w:pPr>
      <w:rPr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  <w:start w:val="1"/>
    </w:lvl>
    <w:lvl w:ilvl="1" w:tplc="B74A30B4">
      <w:lvlJc w:val="left"/>
      <w:lvlText w:val="%2)"/>
      <w:numFmt w:val="lowerLetter"/>
      <w:pPr>
        <w:ind w:left="726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2" w:tplc="D0A83EB6">
      <w:lvlJc w:val="left"/>
      <w:lvlText w:val="%3"/>
      <w:numFmt w:val="lowerRoman"/>
      <w:pPr>
        <w:ind w:left="133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3" w:tplc="1A72D3B2">
      <w:lvlJc w:val="left"/>
      <w:lvlText w:val="%4"/>
      <w:numFmt w:val="decimal"/>
      <w:pPr>
        <w:ind w:left="205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4" w:tplc="D0E8E380">
      <w:lvlJc w:val="left"/>
      <w:lvlText w:val="%5"/>
      <w:numFmt w:val="lowerLetter"/>
      <w:pPr>
        <w:ind w:left="277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5" w:tplc="5406C4BE">
      <w:lvlJc w:val="left"/>
      <w:lvlText w:val="%6"/>
      <w:numFmt w:val="lowerRoman"/>
      <w:pPr>
        <w:ind w:left="349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6" w:tplc="2A320CD0">
      <w:lvlJc w:val="left"/>
      <w:lvlText w:val="%7"/>
      <w:numFmt w:val="decimal"/>
      <w:pPr>
        <w:ind w:left="421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7" w:tplc="FEF6B354">
      <w:lvlJc w:val="left"/>
      <w:lvlText w:val="%8"/>
      <w:numFmt w:val="lowerLetter"/>
      <w:pPr>
        <w:ind w:left="493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8" w:tplc="4E2C473A">
      <w:lvlJc w:val="left"/>
      <w:lvlText w:val="%9"/>
      <w:numFmt w:val="lowerRoman"/>
      <w:pPr>
        <w:ind w:left="5657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</w:abstractNum>
  <w:abstractNum w:abstractNumId="6">
    <w:multiLevelType w:val="hybridMultilevel"/>
    <w:lvl w:ilvl="0" w:tplc="0C0A000F">
      <w:lvlJc w:val="left"/>
      <w:lvlText w:val="%1."/>
      <w:numFmt w:val="decimal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7">
    <w:multiLevelType w:val="hybridMultilevel"/>
    <w:lvl w:ilvl="0" w:tplc="B74A30B4">
      <w:lvlJc w:val="left"/>
      <w:lvlText w:val="%1)"/>
      <w:numFmt w:val="lowerLetter"/>
      <w:pPr>
        <w:ind w:left="726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8">
    <w:multiLevelType w:val="hybridMultilevel"/>
    <w:lvl w:ilvl="0" w:tplc="6F86F7E4">
      <w:lvlJc w:val="left"/>
      <w:lvlText w:val="%1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9">
    <w:multiLevelType w:val="hybridMultilevel"/>
    <w:lvl w:ilvl="0" w:tplc="6F86F7E4">
      <w:lvlJc w:val="left"/>
      <w:lvlText w:val="%1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0">
    <w:multiLevelType w:val="hybridMultilevel"/>
    <w:lvl w:ilvl="0" w:tplc="125819FA">
      <w:lvlJc w:val="left"/>
      <w:lvlText w:val="%1)"/>
      <w:numFmt w:val="lowerLetter"/>
      <w:pPr>
        <w:ind w:left="676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1">
    <w:multiLevelType w:val="hybridMultilevel"/>
    <w:lvl w:ilvl="0" w:tplc="6F86F7E4">
      <w:lvlJc w:val="left"/>
      <w:lvlText w:val="%1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2">
    <w:multiLevelType w:val="hybridMultilevel"/>
    <w:lvl w:ilvl="0" w:tplc="125819FA">
      <w:lvlJc w:val="left"/>
      <w:lvlText w:val="%1)"/>
      <w:numFmt w:val="lowerLetter"/>
      <w:pPr>
        <w:ind w:left="676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3">
    <w:multiLevelType w:val="hybridMultilevel"/>
    <w:lvl w:ilvl="0" w:tplc="0C0A000F">
      <w:lvlJc w:val="left"/>
      <w:lvlText w:val="%1."/>
      <w:numFmt w:val="decimal"/>
      <w:pPr>
        <w:ind w:left="17"/>
      </w:pPr>
      <w:rPr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  <w:start w:val="1"/>
    </w:lvl>
    <w:lvl w:ilvl="1" w:tplc="ABD0DA3E">
      <w:lvlJc w:val="left"/>
      <w:lvlText w:val="%2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2" w:tplc="5A72359E">
      <w:lvlJc w:val="left"/>
      <w:lvlText w:val="%3"/>
      <w:numFmt w:val="lowerRoman"/>
      <w:pPr>
        <w:ind w:left="144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3" w:tplc="7AFCAEFC">
      <w:lvlJc w:val="left"/>
      <w:lvlText w:val="%4"/>
      <w:numFmt w:val="decimal"/>
      <w:pPr>
        <w:ind w:left="21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4" w:tplc="8E642492">
      <w:lvlJc w:val="left"/>
      <w:lvlText w:val="%5"/>
      <w:numFmt w:val="lowerLetter"/>
      <w:pPr>
        <w:ind w:left="288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5" w:tplc="66322D54">
      <w:lvlJc w:val="left"/>
      <w:lvlText w:val="%6"/>
      <w:numFmt w:val="lowerRoman"/>
      <w:pPr>
        <w:ind w:left="360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6" w:tplc="4E56B4EC">
      <w:lvlJc w:val="left"/>
      <w:lvlText w:val="%7"/>
      <w:numFmt w:val="decimal"/>
      <w:pPr>
        <w:ind w:left="432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7" w:tplc="473C543C">
      <w:lvlJc w:val="left"/>
      <w:lvlText w:val="%8"/>
      <w:numFmt w:val="lowerLetter"/>
      <w:pPr>
        <w:ind w:left="504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8" w:tplc="06BE06BC">
      <w:lvlJc w:val="left"/>
      <w:lvlText w:val="%9"/>
      <w:numFmt w:val="lowerRoman"/>
      <w:pPr>
        <w:ind w:left="57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</w:abstractNum>
  <w:abstractNum w:abstractNumId="14">
    <w:multiLevelType w:val="hybridMultilevel"/>
    <w:lvl w:ilvl="0" w:tplc="0C0A000F">
      <w:lvlJc w:val="left"/>
      <w:lvlText w:val="%1."/>
      <w:numFmt w:val="decimal"/>
      <w:pPr>
        <w:ind w:left="17"/>
      </w:pPr>
      <w:rPr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</w:lvl>
    <w:lvl w:ilvl="1" w:tplc="B84836C6">
      <w:lvlJc w:val="left"/>
      <w:lvlText w:val="%2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2" w:tplc="01A09784">
      <w:lvlJc w:val="left"/>
      <w:lvlText w:val="%3"/>
      <w:numFmt w:val="lowerRoman"/>
      <w:pPr>
        <w:ind w:left="138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3" w:tplc="3C222D7E">
      <w:lvlJc w:val="left"/>
      <w:lvlText w:val="%4"/>
      <w:numFmt w:val="decimal"/>
      <w:pPr>
        <w:ind w:left="210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4" w:tplc="ACD64188">
      <w:lvlJc w:val="left"/>
      <w:lvlText w:val="%5"/>
      <w:numFmt w:val="lowerLetter"/>
      <w:pPr>
        <w:ind w:left="282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5" w:tplc="5C803274">
      <w:lvlJc w:val="left"/>
      <w:lvlText w:val="%6"/>
      <w:numFmt w:val="lowerRoman"/>
      <w:pPr>
        <w:ind w:left="354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6" w:tplc="EBC81118">
      <w:lvlJc w:val="left"/>
      <w:lvlText w:val="%7"/>
      <w:numFmt w:val="decimal"/>
      <w:pPr>
        <w:ind w:left="42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7" w:tplc="3886C29E">
      <w:lvlJc w:val="left"/>
      <w:lvlText w:val="%8"/>
      <w:numFmt w:val="lowerLetter"/>
      <w:pPr>
        <w:ind w:left="498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  <w:lvl w:ilvl="8" w:tplc="A38A79B2">
      <w:lvlJc w:val="left"/>
      <w:lvlText w:val="%9"/>
      <w:numFmt w:val="lowerRoman"/>
      <w:pPr>
        <w:ind w:left="570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6"/>
        <w:szCs w:val="26"/>
        <w:u w:val="none"/>
        <w:shd w:val="clear" w:color="auto" w:fill="auto"/>
        <w:vertAlign w:val="baseline"/>
      </w:rPr>
      <w:start w:val="1"/>
    </w:lvl>
  </w:abstractNum>
  <w:abstractNum w:abstractNumId="15">
    <w:multiLevelType w:val="hybridMultilevel"/>
    <w:lvl w:ilvl="0" w:tplc="0C0A000F">
      <w:lvlJc w:val="left"/>
      <w:lvlText w:val="%1."/>
      <w:numFmt w:val="decimal"/>
      <w:pPr>
        <w:ind w:left="604"/>
      </w:pPr>
      <w:rPr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w:start w:val="1"/>
    </w:lvl>
    <w:lvl w:ilvl="1" w:tplc="6F86F7E4">
      <w:lvlJc w:val="left"/>
      <w:lvlText w:val="%2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2" w:tplc="E8E40C28">
      <w:lvlJc w:val="left"/>
      <w:lvlText w:val="%3"/>
      <w:numFmt w:val="lowerRoman"/>
      <w:pPr>
        <w:ind w:left="135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3" w:tplc="D5B28C1A">
      <w:lvlJc w:val="left"/>
      <w:lvlText w:val="%4"/>
      <w:numFmt w:val="decimal"/>
      <w:pPr>
        <w:ind w:left="207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4" w:tplc="65C82DCE">
      <w:lvlJc w:val="left"/>
      <w:lvlText w:val="%5"/>
      <w:numFmt w:val="lowerLetter"/>
      <w:pPr>
        <w:ind w:left="279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5" w:tplc="BF7EFE0C">
      <w:lvlJc w:val="left"/>
      <w:lvlText w:val="%6"/>
      <w:numFmt w:val="lowerRoman"/>
      <w:pPr>
        <w:ind w:left="351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6" w:tplc="CE787BAE">
      <w:lvlJc w:val="left"/>
      <w:lvlText w:val="%7"/>
      <w:numFmt w:val="decimal"/>
      <w:pPr>
        <w:ind w:left="423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7" w:tplc="1F28A69E">
      <w:lvlJc w:val="left"/>
      <w:lvlText w:val="%8"/>
      <w:numFmt w:val="lowerLetter"/>
      <w:pPr>
        <w:ind w:left="495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8" w:tplc="A7088D72">
      <w:lvlJc w:val="left"/>
      <w:lvlText w:val="%9"/>
      <w:numFmt w:val="lowerRoman"/>
      <w:pPr>
        <w:ind w:left="567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</w:abstractNum>
  <w:abstractNum w:abstractNumId="16">
    <w:multiLevelType w:val="hybridMultilevel"/>
    <w:lvl w:ilvl="0" w:tplc="B74A30B4">
      <w:lvlJc w:val="left"/>
      <w:lvlText w:val="%1)"/>
      <w:numFmt w:val="lowerLetter"/>
      <w:pPr>
        <w:ind w:left="726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7">
    <w:multiLevelType w:val="hybridMultilevel"/>
    <w:lvl w:ilvl="0" w:tplc="B74A30B4">
      <w:lvlJc w:val="left"/>
      <w:lvlText w:val="%1)"/>
      <w:numFmt w:val="lowerLetter"/>
      <w:pPr>
        <w:ind w:left="726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8">
    <w:multiLevelType w:val="hybridMultilevel"/>
    <w:lvl w:ilvl="0" w:tplc="0C0A000F">
      <w:lvlJc w:val="left"/>
      <w:lvlText w:val="%1."/>
      <w:numFmt w:val="decimal"/>
      <w:pPr>
        <w:ind w:hanging="360" w:left="720"/>
      </w:p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19">
    <w:multiLevelType w:val="hybridMultilevel"/>
    <w:lvl w:ilvl="0" w:tplc="B84836C6">
      <w:lvlJc w:val="left"/>
      <w:lvlText w:val="%1)"/>
      <w:numFmt w:val="lowerLetter"/>
      <w:pPr>
        <w:ind w:left="683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abstractNum w:abstractNumId="20">
    <w:multiLevelType w:val="hybridMultilevel"/>
    <w:lvl w:ilvl="0" w:tplc="B74A30B4">
      <w:lvlJc w:val="left"/>
      <w:lvlText w:val="%1)"/>
      <w:numFmt w:val="lowerLetter"/>
      <w:pPr>
        <w:ind w:left="726"/>
      </w:pPr>
      <w:rPr>
        <w:rFonts w:hint="default" w:ascii="Arial" w:hAnsi="Arial" w:eastAsia="Times New Roman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start w:val="1"/>
    </w:lvl>
    <w:lvl w:ilvl="1" w:tentative="true" w:tplc="0C0A0019">
      <w:lvlJc w:val="left"/>
      <w:lvlText w:val="%2."/>
      <w:numFmt w:val="lowerLetter"/>
      <w:pPr>
        <w:ind w:hanging="360" w:left="1440"/>
      </w:pPr>
      <w:start w:val="1"/>
    </w:lvl>
    <w:lvl w:ilvl="2" w:tentative="true" w:tplc="0C0A001B">
      <w:lvlJc w:val="right"/>
      <w:lvlText w:val="%3."/>
      <w:numFmt w:val="lowerRoman"/>
      <w:pPr>
        <w:ind w:hanging="180" w:left="2160"/>
      </w:pPr>
      <w:start w:val="1"/>
    </w:lvl>
    <w:lvl w:ilvl="3" w:tentative="true" w:tplc="0C0A000F">
      <w:lvlJc w:val="left"/>
      <w:lvlText w:val="%4."/>
      <w:numFmt w:val="decimal"/>
      <w:pPr>
        <w:ind w:hanging="360" w:left="2880"/>
      </w:pPr>
      <w:start w:val="1"/>
    </w:lvl>
    <w:lvl w:ilvl="4" w:tentative="true" w:tplc="0C0A0019">
      <w:lvlJc w:val="left"/>
      <w:lvlText w:val="%5."/>
      <w:numFmt w:val="lowerLetter"/>
      <w:pPr>
        <w:ind w:hanging="360" w:left="3600"/>
      </w:pPr>
      <w:start w:val="1"/>
    </w:lvl>
    <w:lvl w:ilvl="5" w:tentative="true" w:tplc="0C0A001B">
      <w:lvlJc w:val="right"/>
      <w:lvlText w:val="%6."/>
      <w:numFmt w:val="lowerRoman"/>
      <w:pPr>
        <w:ind w:hanging="180" w:left="4320"/>
      </w:pPr>
      <w:start w:val="1"/>
    </w:lvl>
    <w:lvl w:ilvl="6" w:tentative="true" w:tplc="0C0A000F">
      <w:lvlJc w:val="left"/>
      <w:lvlText w:val="%7."/>
      <w:numFmt w:val="decimal"/>
      <w:pPr>
        <w:ind w:hanging="360" w:left="5040"/>
      </w:pPr>
      <w:start w:val="1"/>
    </w:lvl>
    <w:lvl w:ilvl="7" w:tentative="true" w:tplc="0C0A0019">
      <w:lvlJc w:val="left"/>
      <w:lvlText w:val="%8."/>
      <w:numFmt w:val="lowerLetter"/>
      <w:pPr>
        <w:ind w:hanging="360" w:left="5760"/>
      </w:pPr>
      <w:start w:val="1"/>
    </w:lvl>
    <w:lvl w:ilvl="8" w:tentative="true" w:tplc="0C0A001B">
      <w:lvlJc w:val="right"/>
      <w:lvlText w:val="%9."/>
      <w:numFmt w:val="lowerRoman"/>
      <w:pPr>
        <w:ind w:hanging="180" w:left="6480"/>
      </w:pPr>
      <w:start w:val="1"/>
    </w:lvl>
  </w:abstractNum>
  <w:num w:numId="1">
    <w:abstractNumId w:val="14"/>
  </w:num>
  <w:num w:numId="2">
    <w:abstractNumId w:val="0"/>
  </w:num>
  <w:num w:numId="3">
    <w:abstractNumId w:val="13"/>
  </w:num>
  <w:num w:numId="4">
    <w:abstractNumId w:val="1"/>
  </w:num>
  <w:num w:numId="5">
    <w:abstractNumId w:val="3"/>
  </w:num>
  <w:num w:numId="6">
    <w:abstractNumId w:val="15"/>
  </w:num>
  <w:num w:numId="7">
    <w:abstractNumId w:val="5"/>
  </w:num>
  <w:num w:numId="8">
    <w:abstractNumId w:val="6"/>
  </w:num>
  <w:num w:numId="9">
    <w:abstractNumId w:val="10"/>
  </w:num>
  <w:num w:numId="10">
    <w:abstractNumId w:val="12"/>
  </w:num>
  <w:num w:numId="11">
    <w:abstractNumId w:val="9"/>
  </w:num>
  <w:num w:numId="12">
    <w:abstractNumId w:val="11"/>
  </w:num>
  <w:num w:numId="13">
    <w:abstractNumId w:val="2"/>
  </w:num>
  <w:num w:numId="14">
    <w:abstractNumId w:val="8"/>
  </w:num>
  <w:num w:numId="15">
    <w:abstractNumId w:val="16"/>
  </w:num>
  <w:num w:numId="16">
    <w:abstractNumId w:val="17"/>
  </w:num>
  <w:num w:numId="17">
    <w:abstractNumId w:val="20"/>
  </w:num>
  <w:num w:numId="18">
    <w:abstractNumId w:val="7"/>
  </w:num>
  <w:num w:numId="19">
    <w:abstractNumId w:val="4"/>
  </w:num>
  <w:num w:numId="20">
    <w:abstractNumId w:val="1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ONLYOFFICE/7.5.0.127</Application>
  <Characters>8107</Characters>
  <CharactersWithSpaces>9561</CharactersWithSpaces>
  <Company/>
  <DocSecurity>0</DocSecurity>
  <HyperlinksChanged>false</HyperlinksChanged>
  <Lines>67</Lines>
  <LinksUpToDate>false</LinksUpToDate>
  <Pages>7</Pages>
  <Paragraphs>19</Paragraphs>
  <ScaleCrop>false</ScaleCrop>
  <SharedDoc>false</SharedDoc>
  <Template>Normal.dotm</Template>
  <TotalTime>0</TotalTime>
  <Words>1473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CALDERON, MARIA ROSARIO</dc:creator>
  <cp:keywords/>
  <dc:description/>
  <cp:lastModifiedBy>María del Rosario Díaz Calderón</cp:lastModifiedBy>
  <cp:revision>2</cp:revision>
  <dcterms:created xsi:type="dcterms:W3CDTF">2024-06-17T15:26:00Z</dcterms:created>
  <dcterms:modified xsi:type="dcterms:W3CDTF">2024-06-17T15:26:00Z</dcterms:modified>
</cp:coreProperties>
</file>