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</w:t>
      </w:r>
      <w:r>
        <w:rPr>
          <w:rFonts w:ascii="Arial" w:hAnsi="Arial" w:cs="Arial"/>
          <w:sz w:val="24"/>
          <w:szCs w:val="24"/>
        </w:rPr>
        <w:t xml:space="preserve">. Las entidades públicas empresariales (señala la incorrecta):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tienen personalidad jurídica propia, patrimonio propio y autonomía en su gestión</w:t>
      </w:r>
    </w:p>
    <w:p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son entidades de Derecho público</w:t>
      </w:r>
    </w:p>
    <w:p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financian mayoritariamente con ingresos de mercado</w:t>
      </w:r>
    </w:p>
    <w:p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junto con el ejercicio de potestades administrativas desarrollan actividades prestacionales, de gestión de servicios o de producción de bienes de interés público, no susceptibles de contraprestación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</w:t>
      </w:r>
      <w:r>
        <w:rPr>
          <w:rFonts w:ascii="Arial" w:hAnsi="Arial" w:cs="Arial"/>
          <w:sz w:val="24"/>
          <w:szCs w:val="24"/>
        </w:rPr>
        <w:t xml:space="preserve">. Las entidades públicas empresariales dependen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Administración General del Estado</w:t>
      </w:r>
    </w:p>
    <w:p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Organismo autónomo vinculado o dependiente de la Administración General del Estado</w:t>
      </w:r>
    </w:p>
    <w:p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Administración General del Estado o de un Organismo autónomo vinculado o dependiente de ésta</w:t>
      </w:r>
    </w:p>
    <w:p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Administración General del Estado o de un Organismo autónomo independiente de ésta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</w:t>
      </w:r>
      <w:r>
        <w:rPr>
          <w:rFonts w:ascii="Arial" w:hAnsi="Arial" w:cs="Arial"/>
          <w:sz w:val="24"/>
          <w:szCs w:val="24"/>
        </w:rPr>
        <w:t xml:space="preserve">. Respecto a las entidades públicas empresariales, a la Administración General del Estado o de un Organismo autónomo vinculado o dependiente de ésta le corresponde: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dirección estratégica</w:t>
      </w:r>
    </w:p>
    <w:p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evaluación de los resultados de su actividad</w:t>
      </w:r>
    </w:p>
    <w:p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control de eficacia</w:t>
      </w:r>
    </w:p>
    <w:p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son correctas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</w:t>
      </w:r>
      <w:r>
        <w:rPr>
          <w:rFonts w:ascii="Arial" w:hAnsi="Arial" w:cs="Arial"/>
          <w:sz w:val="24"/>
          <w:szCs w:val="24"/>
        </w:rPr>
        <w:t xml:space="preserve">. Las entidades públicas empresariales se rigen por el Derecho privado: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formación de la voluntad de sus órganos</w:t>
      </w:r>
    </w:p>
    <w:p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ejercicio de las potestades administrativas que tengan atribuidas</w:t>
      </w:r>
    </w:p>
    <w:p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los aspectos específicamente regulados en su Ley de creación</w:t>
      </w:r>
    </w:p>
    <w:p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norma general salvo excepciones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</w:t>
      </w:r>
      <w:r>
        <w:rPr>
          <w:rFonts w:ascii="Arial" w:hAnsi="Arial" w:cs="Arial"/>
          <w:sz w:val="24"/>
          <w:szCs w:val="24"/>
        </w:rPr>
        <w:t xml:space="preserve">. Respecto a las entidades públicas empresariales: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potestades administrativas atribuidas a las entidades públicas empresariales sólo pueden ser ejercidas por aquellos órganos de éstas a los que los estatutos se les asigne expresamente esta facultad</w:t>
      </w:r>
    </w:p>
    <w:p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los efectos de esta Ley, los órganos de las entidades públicas empresariales son asimilables en cuanto a su rango administrativo al de los órganos de la Administración General del Estado, salvo las excepciones que, a determinados efectos se fijen, en cada caso, en sus estatutos</w:t>
      </w:r>
    </w:p>
    <w:p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todo el personal de las entidades públicas empresariales se rige por el Derecho laboral</w:t>
      </w:r>
    </w:p>
    <w:p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son correctas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</w:t>
      </w:r>
      <w:r>
        <w:rPr>
          <w:rFonts w:ascii="Arial" w:hAnsi="Arial" w:cs="Arial"/>
          <w:sz w:val="24"/>
          <w:szCs w:val="24"/>
        </w:rPr>
        <w:t xml:space="preserve">. La selección del personal laboral de las entidades públicas empresariales se realizará conforme a las siguientes reglas: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personal directivo será nombrado atendiendo a la experiencia en el desempeño de puestos de responsabilidad en la gestión pública o privada</w:t>
      </w:r>
    </w:p>
    <w:p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personal no directivo será seleccionado mediante convocatoria pública basada en los principios de igualdad, mérito y capacidad</w:t>
      </w:r>
    </w:p>
    <w:p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personal directivo será nombrado atendiendo a la experiencia en el desempeño de puestos de responsabilidad en la gestión pública</w:t>
      </w:r>
    </w:p>
    <w:p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y b son correctas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</w:t>
      </w:r>
      <w:r>
        <w:rPr>
          <w:rFonts w:ascii="Arial" w:hAnsi="Arial" w:cs="Arial"/>
          <w:sz w:val="24"/>
          <w:szCs w:val="24"/>
        </w:rPr>
        <w:t xml:space="preserve">. El Ministerio de Hacienda y Administraciones Públicas efectuará controles específicos sobre la evolución de los gastos de personal y de la gestión de sus recursos humanos: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mensualmente</w:t>
      </w:r>
    </w:p>
    <w:p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trimestralmente</w:t>
      </w:r>
    </w:p>
    <w:p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anualmente</w:t>
      </w:r>
    </w:p>
    <w:p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la periodicidad adecuada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</w:t>
      </w:r>
      <w:r>
        <w:rPr>
          <w:rFonts w:ascii="Arial" w:hAnsi="Arial" w:cs="Arial"/>
          <w:sz w:val="24"/>
          <w:szCs w:val="24"/>
        </w:rPr>
        <w:t xml:space="preserve">. Las entidades públicas empresariales podrán financiarse: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los ingresos que se deriven de sus operaciones, obtenidos como contraprestación de sus actividades comerciales</w:t>
      </w:r>
    </w:p>
    <w:p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los recursos económicos que provengan de los bienes y valores que constituyen su patrimonio</w:t>
      </w:r>
    </w:p>
    <w:p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los recursos económicos que provengan de los productos y rentas de su patrimonio y cualquier otro recurso que pudiera serle atribuido</w:t>
      </w:r>
    </w:p>
    <w:p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son correctas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</w:t>
      </w:r>
      <w:r>
        <w:rPr>
          <w:rFonts w:ascii="Arial" w:hAnsi="Arial" w:cs="Arial"/>
          <w:sz w:val="24"/>
          <w:szCs w:val="24"/>
        </w:rPr>
        <w:t xml:space="preserve">. Excepcionalmente, cuando así lo prevea la Ley de creación, las entidades públicas empresariales podrán financiarse con los recursos económicos que provengan de (señala la incorrecta):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consignaciones específicas que tuvieran asignadas en los Presupuestos Generales del Estado</w:t>
      </w:r>
    </w:p>
    <w:p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subvenciones de cooperación internacional o ayudas al desarrollo</w:t>
      </w:r>
    </w:p>
    <w:p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transferencias corrientes o de capital que procedan de las Administraciones o entidades públicas</w:t>
      </w:r>
    </w:p>
    <w:p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donaciones, legados, patrocinios y otras aportaciones de entidades privadas y de particulares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</w:t>
      </w:r>
      <w:r>
        <w:rPr>
          <w:rFonts w:ascii="Arial" w:hAnsi="Arial" w:cs="Arial"/>
          <w:sz w:val="24"/>
          <w:szCs w:val="24"/>
        </w:rPr>
        <w:t xml:space="preserve">. Las autoridades administrativas independientes de ámbito estatal: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son entidades de derecho público vinculadas a la Administración General del Estado y sin personalidad jurídica propia</w:t>
      </w:r>
    </w:p>
    <w:p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tienen atribuidas funciones de regulación o supervisión de carácter interno sobre sectores económicos o actividades determinadas</w:t>
      </w:r>
    </w:p>
    <w:p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desempeño requiere de independencia funcional o una especial autonomía respecto de la Administración General del Estado</w:t>
      </w:r>
    </w:p>
    <w:p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son correctas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11</w:t>
      </w:r>
      <w:r>
        <w:rPr>
          <w:rFonts w:ascii="Arial" w:hAnsi="Arial" w:cs="Arial"/>
          <w:sz w:val="24"/>
          <w:szCs w:val="24"/>
        </w:rPr>
        <w:t xml:space="preserve">. Las autoridades administrativas independientes actuarán, en el desarrollo de su actividad y para el cumplimiento de sus fines: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independencia de cualquier interés empresarial o comercial</w:t>
      </w:r>
    </w:p>
    <w:p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independencia de cualquier interés social o general</w:t>
      </w:r>
    </w:p>
    <w:p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independencia de cualquier interés económico o financiero</w:t>
      </w:r>
    </w:p>
    <w:p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 independencia de cualquier interés local o cultural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</w:t>
      </w:r>
      <w:r>
        <w:rPr>
          <w:rFonts w:ascii="Arial" w:hAnsi="Arial" w:cs="Arial"/>
          <w:sz w:val="24"/>
          <w:szCs w:val="24"/>
        </w:rPr>
        <w:t xml:space="preserve">. Se entiende por sociedad mercantil estatal aquella sociedad mercantil sobre la que se ejerce control estatal: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porque la participación directa, en su capital social de la Administración General del Estado o alguna de las entidades que integran el sector público institucional estatal, incluidas las sociedades mercantiles estatales, sea superior al 50 por 100</w:t>
      </w:r>
    </w:p>
    <w:p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porque la sociedad mercantil se encuentre en el supuesto previsto en el artículo 4 de la Ley 24/1988, de 28 de julio, del Mercado de Valores respecto de la Administración General del Estado o de sus organismos públicos vinculados o dependientes</w:t>
      </w:r>
    </w:p>
    <w:p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y b son correctas</w:t>
      </w:r>
    </w:p>
    <w:p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y b son incorrectas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13</w:t>
      </w:r>
      <w:r>
        <w:rPr>
          <w:rFonts w:ascii="Arial" w:hAnsi="Arial" w:cs="Arial"/>
          <w:sz w:val="24"/>
          <w:szCs w:val="24"/>
        </w:rPr>
        <w:t xml:space="preserve">. Respecto a las sociedades mercantiles estatales no es correcto: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Administración General del Estado y las entidades integrantes del sector público institucional perseguirán la eficiencia, transparencia y buen gobierno en la gestión de dichas sociedades mercantiles</w:t>
      </w:r>
    </w:p>
    <w:p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regirán por lo previsto en esta Ley, por lo previsto en la Ley 33/2003, de 3 de noviembre, y por el ordenamiento jurídico privado, salvo en las materias en que le sea de aplicación la normativa presupuestaria, contable, de personal, de control económico-financiero y de contratación</w:t>
      </w:r>
    </w:p>
    <w:p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excepcionalmente podrán disponer de facultades que impliquen el ejercicio de </w:t>
      </w:r>
      <w:r>
        <w:rPr>
          <w:rFonts w:ascii="Arial" w:hAnsi="Arial" w:cs="Arial"/>
          <w:sz w:val="24"/>
          <w:szCs w:val="24"/>
        </w:rPr>
        <w:t xml:space="preserve">autoridad pública</w:t>
      </w:r>
      <w:r>
        <w:rPr>
          <w:rFonts w:ascii="Arial" w:hAnsi="Arial" w:cs="Arial"/>
          <w:sz w:val="24"/>
          <w:szCs w:val="24"/>
        </w:rPr>
        <w:t xml:space="preserve">, pero en ningún caso la ley puede atribuirles el ejercicio de potestades administrativas</w:t>
      </w:r>
    </w:p>
    <w:p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son correctas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14</w:t>
      </w:r>
      <w:r>
        <w:rPr>
          <w:rFonts w:ascii="Arial" w:hAnsi="Arial" w:cs="Arial"/>
          <w:sz w:val="24"/>
          <w:szCs w:val="24"/>
        </w:rPr>
        <w:t xml:space="preserve">. La creación de una sociedad mercantil estatal o la adquisición de este carácter de forma sobrevenida será autorizada mediante acuerdo del Consejo de </w:t>
      </w:r>
      <w:r>
        <w:rPr>
          <w:rFonts w:ascii="Arial" w:hAnsi="Arial" w:cs="Arial"/>
          <w:sz w:val="24"/>
          <w:szCs w:val="24"/>
        </w:rPr>
        <w:t xml:space="preserve">Ministros</w:t>
      </w:r>
      <w:r>
        <w:rPr>
          <w:rFonts w:ascii="Arial" w:hAnsi="Arial" w:cs="Arial"/>
          <w:sz w:val="24"/>
          <w:szCs w:val="24"/>
        </w:rPr>
        <w:t xml:space="preserve"> que deberá ser acompañado de una propuesta de estatutos y de un plan de actuación que contendrá, al menos: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razones que justifican la creación de la sociedad por no poder asumir esas funciones otra entidad ya existente, así como la inexistencia de duplicidades</w:t>
      </w:r>
    </w:p>
    <w:p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análisis que justifique que la forma jurídica propuesta resulta más eficiente frente a la creación de un organismo público u otras alternativas de organización que se hayan descartado</w:t>
      </w:r>
    </w:p>
    <w:p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objetivos anuales y los indicadores para medirlos</w:t>
      </w:r>
    </w:p>
    <w:p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son correctas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15</w:t>
      </w:r>
      <w:r>
        <w:rPr>
          <w:rFonts w:ascii="Arial" w:hAnsi="Arial" w:cs="Arial"/>
          <w:sz w:val="24"/>
          <w:szCs w:val="24"/>
        </w:rPr>
        <w:t xml:space="preserve">. Respecto a las sociedades mercantiles estatales no es correcto: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acuerdo de creación de la sociedad mercantil estatal se acompañará de un informe preceptivo favorable o no del Ministerio de Hacienda y Administraciones Públicas o la Intervención General de la Administración del Estado</w:t>
      </w:r>
    </w:p>
    <w:p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Programa de Actuación Plurianual que conforme a la Ley 47/2003, de 26 de noviembre, deben elaborar las sociedades cada año incluirá un plan de actuación anual que servirá de base para el control de eficacia de la sociedad</w:t>
      </w:r>
    </w:p>
    <w:p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liquidación de una sociedad mercantil estatal recaerá en un órgano de la Administración General del Estado o en una entidad integrante del sector público institucional estatal</w:t>
      </w:r>
    </w:p>
    <w:p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responsabilidad que le corresponda al empleado público como miembro de la entidad u órgano liquidador será directamente asumida por la entidad o la Administración General del Estado que lo designó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17</w:t>
      </w:r>
      <w:r>
        <w:rPr>
          <w:rFonts w:ascii="Arial" w:hAnsi="Arial" w:cs="Arial"/>
          <w:sz w:val="24"/>
          <w:szCs w:val="24"/>
        </w:rPr>
        <w:t xml:space="preserve">. Al autorizar la constitución de una sociedad mercantil estatal con forma de sociedad anónima: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Consejo de Estado podrá atribuir a un Ministerio, cuyas competencias guarden una relación específica con el objeto social de la sociedad, la tutela funcional de la misma</w:t>
      </w:r>
    </w:p>
    <w:p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Consejo de </w:t>
      </w:r>
      <w:r>
        <w:rPr>
          <w:rFonts w:ascii="Arial" w:hAnsi="Arial" w:cs="Arial"/>
          <w:sz w:val="24"/>
          <w:szCs w:val="24"/>
        </w:rPr>
        <w:t xml:space="preserve">Ministros</w:t>
      </w:r>
      <w:r>
        <w:rPr>
          <w:rFonts w:ascii="Arial" w:hAnsi="Arial" w:cs="Arial"/>
          <w:sz w:val="24"/>
          <w:szCs w:val="24"/>
        </w:rPr>
        <w:t xml:space="preserve"> podrá atribuir a una Comisión, cuyas competencias guarden una relación específica con el objeto social de la sociedad, la tutela funcional de la misma</w:t>
      </w:r>
    </w:p>
    <w:p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Consejo de </w:t>
      </w:r>
      <w:r>
        <w:rPr>
          <w:rFonts w:ascii="Arial" w:hAnsi="Arial" w:cs="Arial"/>
          <w:sz w:val="24"/>
          <w:szCs w:val="24"/>
        </w:rPr>
        <w:t xml:space="preserve">Ministros</w:t>
      </w:r>
      <w:r>
        <w:rPr>
          <w:rFonts w:ascii="Arial" w:hAnsi="Arial" w:cs="Arial"/>
          <w:sz w:val="24"/>
          <w:szCs w:val="24"/>
        </w:rPr>
        <w:t xml:space="preserve"> podrá atribuir a un Ministerio, cuyas competencias guarden una relación específica con el objeto social de la sociedad, la tutela funcional de la misma</w:t>
      </w:r>
    </w:p>
    <w:p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Consejo de Estado podrá atribuir a una Comisión, cuyas competencias guarden una relación específica con el objeto social de la sociedad, la tutela funcional de la misma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17</w:t>
      </w:r>
      <w:r>
        <w:rPr>
          <w:rFonts w:ascii="Arial" w:hAnsi="Arial" w:cs="Arial"/>
          <w:sz w:val="24"/>
          <w:szCs w:val="24"/>
        </w:rPr>
        <w:t xml:space="preserve">. Respecto a las sociedades mercantiles estatales no es correcto: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elaborarán anualmente un presupuesto de explotación y capital y un plan de actuación que forma parte del Programa Plurianual, que se integrarán con el Presupuesto General del Estado</w:t>
      </w:r>
    </w:p>
    <w:p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formularán y rendirán sus cuentas de acuerdo con los principios y normas de contabilidad recogidos en el Código de Comercio y el Plan General de Contabilidad y disposiciones que lo desarrollan</w:t>
      </w:r>
    </w:p>
    <w:p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gestión </w:t>
      </w:r>
      <w:r>
        <w:rPr>
          <w:rFonts w:ascii="Arial" w:hAnsi="Arial" w:cs="Arial"/>
          <w:sz w:val="24"/>
          <w:szCs w:val="24"/>
        </w:rPr>
        <w:t xml:space="preserve">económico financiera</w:t>
      </w:r>
      <w:r>
        <w:rPr>
          <w:rFonts w:ascii="Arial" w:hAnsi="Arial" w:cs="Arial"/>
          <w:sz w:val="24"/>
          <w:szCs w:val="24"/>
        </w:rPr>
        <w:t xml:space="preserve"> estará sometida exclusivamente al control del Tribunal de Cuentas</w:t>
      </w:r>
    </w:p>
    <w:p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 personal, incluido el que tenga condición de directivo, se regirá por el Derecho laboral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134"/>
      </w:tblGrid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</w:tbl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>
      <w:pgSz w:h="16838" w:w="11906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2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3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4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5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6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7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8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9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0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1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2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3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4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5">
    <w:multiLevelType w:val="hybridMultilevel"/>
    <w:lvl w:ilvl="0" w:tplc="0C0A000F">
      <w:lvlJc w:val="left"/>
      <w:lvlText w:val="%1."/>
      <w:numFmt w:val="decimal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6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7">
    <w:multiLevelType w:val="hybridMultilevel"/>
    <w:lvl w:ilvl="0" w:tplc="0C0A0017">
      <w:lvlJc w:val="left"/>
      <w:lvlText w:val="%1)"/>
      <w:numFmt w:val="lowerLetter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17"/>
  </w:num>
  <w:num w:numId="5">
    <w:abstractNumId w:val="10"/>
  </w:num>
  <w:num w:numId="6">
    <w:abstractNumId w:val="16"/>
  </w:num>
  <w:num w:numId="7">
    <w:abstractNumId w:val="6"/>
  </w:num>
  <w:num w:numId="8">
    <w:abstractNumId w:val="11"/>
  </w:num>
  <w:num w:numId="9">
    <w:abstractNumId w:val="0"/>
  </w:num>
  <w:num w:numId="10">
    <w:abstractNumId w:val="14"/>
  </w:num>
  <w:num w:numId="11">
    <w:abstractNumId w:val="5"/>
  </w:num>
  <w:num w:numId="12">
    <w:abstractNumId w:val="1"/>
  </w:num>
  <w:num w:numId="13">
    <w:abstractNumId w:val="2"/>
  </w:num>
  <w:num w:numId="14">
    <w:abstractNumId w:val="4"/>
  </w:num>
  <w:num w:numId="15">
    <w:abstractNumId w:val="7"/>
  </w:num>
  <w:num w:numId="16">
    <w:abstractNumId w:val="8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 w:val="true"/>
      <w:keepLines w:val="true"/>
      <w:spacing w:after="80" w:before="36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 w:val="true"/>
      <w:spacing w:after="80" w:before="16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 w:val="true"/>
      <w:spacing w:after="80"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 w:val="true"/>
      <w:spacing w:after="40"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 w:val="true"/>
      <w:spacing w:after="40"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 w:val="true"/>
      <w:spacing w:after="0"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 w:val="true"/>
      <w:keepLines w:val="true"/>
      <w:spacing w:after="0"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 w:val="true"/>
      <w:keepLines w:val="true"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 w:val="true"/>
      <w:keepLines w:val="true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 w:val="true"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Arial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ONLYOFFICE/7.5.0.127</Application>
  <Characters>7726</Characters>
  <CharactersWithSpaces>9112</CharactersWithSpaces>
  <Company/>
  <DocSecurity>0</DocSecurity>
  <HyperlinksChanged>false</HyperlinksChanged>
  <Lines>64</Lines>
  <LinksUpToDate>false</LinksUpToDate>
  <Pages>6</Pages>
  <Paragraphs>18</Paragraphs>
  <ScaleCrop>false</ScaleCrop>
  <SharedDoc>false</SharedDoc>
  <Template>Normal.dotm</Template>
  <TotalTime>1</TotalTime>
  <Words>1404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Rosario Díaz Calderón</dc:creator>
  <cp:keywords/>
  <dc:description/>
  <cp:lastModifiedBy>María del Rosario Díaz Calderón</cp:lastModifiedBy>
  <cp:revision>1</cp:revision>
  <dcterms:created xsi:type="dcterms:W3CDTF">2024-10-07T15:29:00Z</dcterms:created>
  <dcterms:modified xsi:type="dcterms:W3CDTF">2024-10-07T15:31:00Z</dcterms:modified>
</cp:coreProperties>
</file>