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numPr>
          <w:ilvl w:val="0"/>
          <w:numId w:val="2"/>
        </w:numPr>
        <w:spacing w:after="0" w:line="240" w:lineRule="auto"/>
        <w:jc w:val="both"/>
        <w:rPr>
          <w:rFonts w:ascii="Arial" w:hAnsi="Arial" w:cs="Arial"/>
          <w:sz w:val="24"/>
          <w:szCs w:val="24"/>
        </w:rPr>
      </w:pPr>
      <w:r>
        <w:rPr>
          <w:rFonts w:ascii="Arial" w:hAnsi="Arial" w:cs="Arial"/>
          <w:sz w:val="24"/>
          <w:szCs w:val="24"/>
        </w:rPr>
        <w:t xml:space="preserve">Deberá garantizarse la identificación del órgano titular de la sede, así como los medios disponibles para la formulación de sugerencias y quejas. </w:t>
      </w:r>
    </w:p>
    <w:p>
      <w:pPr>
        <w:spacing w:after="0" w:line="240" w:lineRule="auto"/>
        <w:jc w:val="both"/>
        <w:rPr>
          <w:rFonts w:ascii="Arial" w:hAnsi="Arial" w:cs="Arial"/>
          <w:sz w:val="24"/>
          <w:szCs w:val="24"/>
        </w:rPr>
      </w:pPr>
    </w:p>
    <w:p>
      <w:pPr>
        <w:numPr>
          <w:ilvl w:val="0"/>
          <w:numId w:val="3"/>
        </w:numPr>
        <w:spacing w:after="0" w:line="240" w:lineRule="auto"/>
        <w:jc w:val="both"/>
        <w:rPr>
          <w:rFonts w:ascii="Arial" w:hAnsi="Arial" w:cs="Arial"/>
          <w:sz w:val="24"/>
          <w:szCs w:val="24"/>
        </w:rPr>
      </w:pPr>
      <w:r>
        <w:rPr>
          <w:rFonts w:ascii="Arial" w:hAnsi="Arial" w:cs="Arial"/>
          <w:sz w:val="24"/>
          <w:szCs w:val="24"/>
        </w:rPr>
        <w:t xml:space="preserve">En ningún caso. </w:t>
      </w:r>
    </w:p>
    <w:p>
      <w:pPr>
        <w:numPr>
          <w:ilvl w:val="0"/>
          <w:numId w:val="3"/>
        </w:numPr>
        <w:spacing w:after="0" w:line="240" w:lineRule="auto"/>
        <w:jc w:val="both"/>
        <w:rPr>
          <w:rFonts w:ascii="Arial" w:hAnsi="Arial" w:cs="Arial"/>
          <w:sz w:val="24"/>
          <w:szCs w:val="24"/>
        </w:rPr>
      </w:pPr>
      <w:r>
        <w:rPr>
          <w:rFonts w:ascii="Arial" w:hAnsi="Arial" w:cs="Arial"/>
          <w:sz w:val="24"/>
          <w:szCs w:val="24"/>
        </w:rPr>
        <w:t xml:space="preserve">En algunos casos. </w:t>
      </w:r>
    </w:p>
    <w:p>
      <w:pPr>
        <w:numPr>
          <w:ilvl w:val="0"/>
          <w:numId w:val="3"/>
        </w:numPr>
        <w:spacing w:after="0" w:line="240" w:lineRule="auto"/>
        <w:jc w:val="both"/>
        <w:rPr>
          <w:rFonts w:ascii="Arial" w:hAnsi="Arial" w:cs="Arial"/>
          <w:sz w:val="24"/>
          <w:szCs w:val="24"/>
        </w:rPr>
      </w:pPr>
      <w:r>
        <w:rPr>
          <w:rFonts w:ascii="Arial" w:hAnsi="Arial" w:cs="Arial"/>
          <w:sz w:val="24"/>
          <w:szCs w:val="24"/>
        </w:rPr>
        <w:t xml:space="preserve">Ninguna es correcta. </w:t>
      </w:r>
    </w:p>
    <w:p>
      <w:pPr>
        <w:numPr>
          <w:ilvl w:val="0"/>
          <w:numId w:val="3"/>
        </w:numPr>
        <w:spacing w:after="0" w:line="240" w:lineRule="auto"/>
        <w:jc w:val="both"/>
        <w:rPr>
          <w:rFonts w:ascii="Arial" w:hAnsi="Arial" w:cs="Arial"/>
          <w:sz w:val="24"/>
          <w:szCs w:val="24"/>
        </w:rPr>
      </w:pPr>
      <w:r>
        <w:rPr>
          <w:rFonts w:ascii="Arial" w:hAnsi="Arial" w:cs="Arial"/>
          <w:sz w:val="24"/>
          <w:szCs w:val="24"/>
        </w:rPr>
        <w:t xml:space="preserve">En todo caso. </w:t>
      </w:r>
    </w:p>
    <w:p>
      <w:pPr>
        <w:spacing w:after="0" w:line="240" w:lineRule="auto"/>
        <w:jc w:val="both"/>
        <w:rPr>
          <w:rFonts w:ascii="Arial" w:hAnsi="Arial" w:cs="Arial"/>
          <w:sz w:val="24"/>
          <w:szCs w:val="24"/>
        </w:rPr>
      </w:pPr>
    </w:p>
    <w:p>
      <w:pPr>
        <w:numPr>
          <w:ilvl w:val="0"/>
          <w:numId w:val="2"/>
        </w:numPr>
        <w:spacing w:after="0" w:line="240" w:lineRule="auto"/>
        <w:jc w:val="both"/>
        <w:rPr>
          <w:rFonts w:ascii="Arial" w:hAnsi="Arial" w:cs="Arial"/>
          <w:sz w:val="24"/>
          <w:szCs w:val="24"/>
        </w:rPr>
      </w:pPr>
      <w:r>
        <w:rPr>
          <w:rFonts w:ascii="Arial" w:hAnsi="Arial" w:cs="Arial"/>
          <w:sz w:val="24"/>
          <w:szCs w:val="24"/>
        </w:rPr>
        <w:t xml:space="preserve">La publicación en las sedes electrónicas de informaciones, servicios y transacciones respetará los principios de: </w:t>
      </w:r>
    </w:p>
    <w:p>
      <w:pPr>
        <w:spacing w:after="0" w:line="240" w:lineRule="auto"/>
        <w:jc w:val="both"/>
        <w:rPr>
          <w:rFonts w:ascii="Arial" w:hAnsi="Arial" w:cs="Arial"/>
          <w:sz w:val="24"/>
          <w:szCs w:val="24"/>
        </w:rPr>
      </w:pPr>
    </w:p>
    <w:p>
      <w:pPr>
        <w:numPr>
          <w:ilvl w:val="0"/>
          <w:numId w:val="4"/>
        </w:numPr>
        <w:spacing w:after="0" w:line="240" w:lineRule="auto"/>
        <w:jc w:val="both"/>
        <w:rPr>
          <w:rFonts w:ascii="Arial" w:hAnsi="Arial" w:cs="Arial"/>
          <w:sz w:val="24"/>
          <w:szCs w:val="24"/>
        </w:rPr>
      </w:pPr>
      <w:r>
        <w:rPr>
          <w:rFonts w:ascii="Arial" w:hAnsi="Arial" w:cs="Arial"/>
          <w:sz w:val="24"/>
          <w:szCs w:val="24"/>
        </w:rPr>
        <w:t xml:space="preserve">Accesibilidad y uso de acuerdo con las normas establecidas al respecto, estándares abiertos y, en su caso, aquellos otros que sean de uso generalizado por los ciudadanos. </w:t>
      </w:r>
    </w:p>
    <w:p>
      <w:pPr>
        <w:numPr>
          <w:ilvl w:val="0"/>
          <w:numId w:val="4"/>
        </w:numPr>
        <w:spacing w:after="0" w:line="240" w:lineRule="auto"/>
        <w:jc w:val="both"/>
        <w:rPr>
          <w:rFonts w:ascii="Arial" w:hAnsi="Arial" w:cs="Arial"/>
          <w:sz w:val="24"/>
          <w:szCs w:val="24"/>
        </w:rPr>
      </w:pPr>
      <w:r>
        <w:rPr>
          <w:rFonts w:ascii="Arial" w:hAnsi="Arial" w:cs="Arial"/>
          <w:sz w:val="24"/>
          <w:szCs w:val="24"/>
        </w:rPr>
        <w:t xml:space="preserve">Disponibilidad y uso de acuerdo con las normas establecidas al respecto, estándares abiertos y, en su caso, aquellos otros que sean de uso generalizado por los ciudadanos. </w:t>
      </w:r>
    </w:p>
    <w:p>
      <w:pPr>
        <w:numPr>
          <w:ilvl w:val="0"/>
          <w:numId w:val="4"/>
        </w:numPr>
        <w:spacing w:after="0" w:line="240" w:lineRule="auto"/>
        <w:jc w:val="both"/>
        <w:rPr>
          <w:rFonts w:ascii="Arial" w:hAnsi="Arial" w:cs="Arial"/>
          <w:sz w:val="24"/>
          <w:szCs w:val="24"/>
        </w:rPr>
      </w:pPr>
      <w:r>
        <w:rPr>
          <w:rFonts w:ascii="Arial" w:hAnsi="Arial" w:cs="Arial"/>
          <w:sz w:val="24"/>
          <w:szCs w:val="24"/>
        </w:rPr>
        <w:t xml:space="preserve">Calidad y uso de acuerdo con las normas establecidas al respecto, estándares abiertos y, en su caso, aquellos otros que sean de uso generalizado por los ciudadanos. </w:t>
      </w:r>
    </w:p>
    <w:p>
      <w:pPr>
        <w:numPr>
          <w:ilvl w:val="0"/>
          <w:numId w:val="4"/>
        </w:numPr>
        <w:spacing w:after="0" w:line="240" w:lineRule="auto"/>
        <w:jc w:val="both"/>
        <w:rPr>
          <w:rFonts w:ascii="Arial" w:hAnsi="Arial" w:cs="Arial"/>
          <w:sz w:val="24"/>
          <w:szCs w:val="24"/>
        </w:rPr>
      </w:pPr>
      <w:r>
        <w:rPr>
          <w:rFonts w:ascii="Arial" w:hAnsi="Arial" w:cs="Arial"/>
          <w:sz w:val="24"/>
          <w:szCs w:val="24"/>
        </w:rPr>
        <w:t xml:space="preserve">Responsabilidad y uso de acuerdo con las normas establecidas al respecto, estándares abiertos y, en su caso, aquellos otros que sean de uso generalizado por los ciudadanos. </w:t>
      </w:r>
    </w:p>
    <w:p>
      <w:pPr>
        <w:spacing w:after="0" w:line="240" w:lineRule="auto"/>
        <w:jc w:val="both"/>
        <w:rPr>
          <w:rFonts w:ascii="Arial" w:hAnsi="Arial" w:cs="Arial"/>
          <w:sz w:val="24"/>
          <w:szCs w:val="24"/>
        </w:rPr>
      </w:pPr>
    </w:p>
    <w:p>
      <w:pPr>
        <w:numPr>
          <w:ilvl w:val="0"/>
          <w:numId w:val="2"/>
        </w:numPr>
        <w:spacing w:after="0" w:line="240" w:lineRule="auto"/>
        <w:jc w:val="both"/>
        <w:rPr>
          <w:rFonts w:ascii="Arial" w:hAnsi="Arial" w:cs="Arial"/>
          <w:sz w:val="24"/>
          <w:szCs w:val="24"/>
        </w:rPr>
      </w:pPr>
      <w:r>
        <w:rPr>
          <w:rFonts w:ascii="Arial" w:hAnsi="Arial" w:cs="Arial"/>
          <w:sz w:val="24"/>
          <w:szCs w:val="24"/>
        </w:rPr>
        <w:t xml:space="preserve">Las sedes electrónicas utilizarán, para identificarse y garantizar una comunicación segura con las mismas: </w:t>
      </w:r>
    </w:p>
    <w:p>
      <w:pPr>
        <w:spacing w:after="0" w:line="240" w:lineRule="auto"/>
        <w:jc w:val="both"/>
        <w:rPr>
          <w:rFonts w:ascii="Arial" w:hAnsi="Arial" w:cs="Arial"/>
          <w:sz w:val="24"/>
          <w:szCs w:val="24"/>
        </w:rPr>
      </w:pPr>
    </w:p>
    <w:p>
      <w:pPr>
        <w:numPr>
          <w:ilvl w:val="0"/>
          <w:numId w:val="5"/>
        </w:numPr>
        <w:spacing w:after="0" w:line="240" w:lineRule="auto"/>
        <w:jc w:val="both"/>
        <w:rPr>
          <w:rFonts w:ascii="Arial" w:hAnsi="Arial" w:cs="Arial"/>
          <w:sz w:val="24"/>
          <w:szCs w:val="24"/>
        </w:rPr>
      </w:pPr>
      <w:r>
        <w:rPr>
          <w:rFonts w:ascii="Arial" w:hAnsi="Arial" w:cs="Arial"/>
          <w:sz w:val="24"/>
          <w:szCs w:val="24"/>
        </w:rPr>
        <w:t xml:space="preserve">Las dos marcadas con * son correctas. </w:t>
      </w:r>
    </w:p>
    <w:p>
      <w:pPr>
        <w:numPr>
          <w:ilvl w:val="0"/>
          <w:numId w:val="5"/>
        </w:numPr>
        <w:spacing w:after="0" w:line="240" w:lineRule="auto"/>
        <w:jc w:val="both"/>
        <w:rPr>
          <w:rFonts w:ascii="Arial" w:hAnsi="Arial" w:cs="Arial"/>
          <w:sz w:val="24"/>
          <w:szCs w:val="24"/>
        </w:rPr>
      </w:pPr>
      <w:r>
        <w:rPr>
          <w:rFonts w:ascii="Arial" w:hAnsi="Arial" w:cs="Arial"/>
          <w:sz w:val="24"/>
          <w:szCs w:val="24"/>
        </w:rPr>
        <w:t xml:space="preserve">Certificados reconocidos de autenticación de sitio web o medio equivalente*</w:t>
      </w:r>
    </w:p>
    <w:p>
      <w:pPr>
        <w:numPr>
          <w:ilvl w:val="0"/>
          <w:numId w:val="5"/>
        </w:numPr>
        <w:spacing w:after="0" w:line="240" w:lineRule="auto"/>
        <w:jc w:val="both"/>
        <w:rPr>
          <w:rFonts w:ascii="Arial" w:hAnsi="Arial" w:cs="Arial"/>
          <w:sz w:val="24"/>
          <w:szCs w:val="24"/>
        </w:rPr>
      </w:pPr>
      <w:r>
        <w:rPr>
          <w:rFonts w:ascii="Arial" w:hAnsi="Arial" w:cs="Arial"/>
          <w:sz w:val="24"/>
          <w:szCs w:val="24"/>
        </w:rPr>
        <w:t xml:space="preserve">Las dos marcadas con * son incorrectas. </w:t>
      </w:r>
    </w:p>
    <w:p>
      <w:pPr>
        <w:numPr>
          <w:ilvl w:val="0"/>
          <w:numId w:val="5"/>
        </w:numPr>
        <w:spacing w:after="0" w:line="240" w:lineRule="auto"/>
        <w:jc w:val="both"/>
        <w:rPr>
          <w:rFonts w:ascii="Arial" w:hAnsi="Arial" w:cs="Arial"/>
          <w:sz w:val="24"/>
          <w:szCs w:val="24"/>
        </w:rPr>
      </w:pPr>
      <w:r>
        <w:rPr>
          <w:rFonts w:ascii="Arial" w:hAnsi="Arial" w:cs="Arial"/>
          <w:sz w:val="24"/>
          <w:szCs w:val="24"/>
        </w:rPr>
        <w:t xml:space="preserve">Certificados cualificados de autenticación de sitio web o medio equivalente.*. </w:t>
      </w:r>
    </w:p>
    <w:p>
      <w:pPr>
        <w:rPr>
          <w:rFonts w:ascii="Arial" w:hAnsi="Arial" w:cs="Arial"/>
          <w:sz w:val="24"/>
          <w:szCs w:val="24"/>
        </w:rPr>
      </w:pPr>
      <w:r>
        <w:rPr>
          <w:rFonts w:ascii="Arial" w:hAnsi="Arial" w:cs="Arial"/>
          <w:sz w:val="24"/>
          <w:szCs w:val="24"/>
        </w:rPr>
        <w:br w:type="page" w:clear="all"/>
      </w:r>
    </w:p>
    <w:p>
      <w:pPr>
        <w:numPr>
          <w:ilvl w:val="0"/>
          <w:numId w:val="2"/>
        </w:numPr>
        <w:spacing w:after="0" w:line="240" w:lineRule="auto"/>
        <w:jc w:val="both"/>
        <w:rPr>
          <w:rFonts w:ascii="Arial" w:hAnsi="Arial" w:cs="Arial"/>
          <w:sz w:val="24"/>
          <w:szCs w:val="24"/>
        </w:rPr>
      </w:pPr>
      <w:r>
        <w:rPr>
          <w:rFonts w:ascii="Arial" w:hAnsi="Arial" w:cs="Arial"/>
          <w:sz w:val="24"/>
          <w:szCs w:val="24"/>
        </w:rPr>
        <w:t xml:space="preserve">Conforme al art. 39 se entiende por portal de internet: </w:t>
      </w:r>
    </w:p>
    <w:p>
      <w:pPr>
        <w:spacing w:after="0" w:line="240" w:lineRule="auto"/>
        <w:jc w:val="both"/>
        <w:rPr>
          <w:rFonts w:ascii="Arial" w:hAnsi="Arial" w:cs="Arial"/>
          <w:sz w:val="24"/>
          <w:szCs w:val="24"/>
        </w:rPr>
      </w:pPr>
    </w:p>
    <w:p>
      <w:pPr>
        <w:numPr>
          <w:ilvl w:val="0"/>
          <w:numId w:val="6"/>
        </w:numPr>
        <w:spacing w:after="0" w:line="240" w:lineRule="auto"/>
        <w:jc w:val="both"/>
        <w:rPr>
          <w:rFonts w:ascii="Arial" w:hAnsi="Arial" w:cs="Arial"/>
          <w:sz w:val="24"/>
          <w:szCs w:val="24"/>
        </w:rPr>
      </w:pPr>
      <w:r>
        <w:rPr>
          <w:rFonts w:ascii="Arial" w:hAnsi="Arial" w:cs="Arial"/>
          <w:sz w:val="24"/>
          <w:szCs w:val="24"/>
        </w:rPr>
        <w:t xml:space="preserve">El punto de acceso electrónico cuya titularidad corresponde a una Administración Pública o privada, que permite el acceso a través de internet a la información publicada y, en su caso, a la sede electrónica correspondiente. </w:t>
      </w:r>
    </w:p>
    <w:p>
      <w:pPr>
        <w:numPr>
          <w:ilvl w:val="0"/>
          <w:numId w:val="6"/>
        </w:numPr>
        <w:spacing w:after="0" w:line="240" w:lineRule="auto"/>
        <w:jc w:val="both"/>
        <w:rPr>
          <w:rFonts w:ascii="Arial" w:hAnsi="Arial" w:cs="Arial"/>
          <w:sz w:val="24"/>
          <w:szCs w:val="24"/>
        </w:rPr>
      </w:pPr>
      <w:r>
        <w:rPr>
          <w:rFonts w:ascii="Arial" w:hAnsi="Arial" w:cs="Arial"/>
          <w:sz w:val="24"/>
          <w:szCs w:val="24"/>
        </w:rPr>
        <w:t xml:space="preserve">El punto de acceso electrónico cuya titularidad corresponde a un organismo público o privado que permite el acceso a través de internet a la información publicada y, en su caso, a la sede electrónica correspondiente. </w:t>
      </w:r>
    </w:p>
    <w:p>
      <w:pPr>
        <w:numPr>
          <w:ilvl w:val="0"/>
          <w:numId w:val="6"/>
        </w:numPr>
        <w:spacing w:after="0" w:line="240" w:lineRule="auto"/>
        <w:jc w:val="both"/>
        <w:rPr>
          <w:rFonts w:ascii="Arial" w:hAnsi="Arial" w:cs="Arial"/>
          <w:sz w:val="24"/>
          <w:szCs w:val="24"/>
        </w:rPr>
      </w:pPr>
      <w:r>
        <w:rPr>
          <w:rFonts w:ascii="Arial" w:hAnsi="Arial" w:cs="Arial"/>
          <w:sz w:val="24"/>
          <w:szCs w:val="24"/>
        </w:rPr>
        <w:t xml:space="preserve">El punto de acceso electrónico cuya titularidad corresponde a una Administración Pública, organismo público o entidad de Derecho Público que permite el acceso a través de internet a la información publicada y, en su caso, a la sede electrónica correspondiente. </w:t>
      </w:r>
    </w:p>
    <w:p>
      <w:pPr>
        <w:numPr>
          <w:ilvl w:val="0"/>
          <w:numId w:val="6"/>
        </w:numPr>
        <w:spacing w:after="0" w:line="240" w:lineRule="auto"/>
        <w:jc w:val="both"/>
        <w:rPr>
          <w:rFonts w:ascii="Arial" w:hAnsi="Arial" w:cs="Arial"/>
          <w:sz w:val="24"/>
          <w:szCs w:val="24"/>
        </w:rPr>
      </w:pPr>
      <w:r>
        <w:rPr>
          <w:rFonts w:ascii="Arial" w:hAnsi="Arial" w:cs="Arial"/>
          <w:sz w:val="24"/>
          <w:szCs w:val="24"/>
        </w:rPr>
        <w:t xml:space="preserve">El punto de acceso electrónico cuya titularidad corresponde a una entidad de Derecho Público o privado que permite el acceso a través de internet a la información publicada y, en su caso, a la sede electrónica correspondiente. </w:t>
      </w:r>
    </w:p>
    <w:p>
      <w:pPr>
        <w:spacing w:after="0" w:line="240" w:lineRule="auto"/>
        <w:jc w:val="both"/>
        <w:rPr>
          <w:rFonts w:ascii="Arial" w:hAnsi="Arial" w:cs="Arial"/>
          <w:sz w:val="24"/>
          <w:szCs w:val="24"/>
        </w:rPr>
      </w:pPr>
    </w:p>
    <w:p>
      <w:pPr>
        <w:numPr>
          <w:ilvl w:val="0"/>
          <w:numId w:val="2"/>
        </w:numPr>
        <w:spacing w:after="0" w:line="240" w:lineRule="auto"/>
        <w:jc w:val="both"/>
        <w:rPr>
          <w:rFonts w:ascii="Arial" w:hAnsi="Arial" w:cs="Arial"/>
          <w:sz w:val="24"/>
          <w:szCs w:val="24"/>
        </w:rPr>
      </w:pPr>
      <w:r>
        <w:rPr>
          <w:rFonts w:ascii="Arial" w:hAnsi="Arial" w:cs="Arial"/>
          <w:sz w:val="24"/>
          <w:szCs w:val="24"/>
        </w:rPr>
        <w:t xml:space="preserve">Según el art 40 Las administraciones públicas podrán identificarse mediante el uso de: </w:t>
      </w:r>
    </w:p>
    <w:p>
      <w:pPr>
        <w:spacing w:after="0" w:line="240" w:lineRule="auto"/>
        <w:jc w:val="both"/>
        <w:rPr>
          <w:rFonts w:ascii="Arial" w:hAnsi="Arial" w:cs="Arial"/>
          <w:sz w:val="24"/>
          <w:szCs w:val="24"/>
        </w:rPr>
      </w:pPr>
    </w:p>
    <w:p>
      <w:pPr>
        <w:numPr>
          <w:ilvl w:val="0"/>
          <w:numId w:val="7"/>
        </w:numPr>
        <w:spacing w:after="0" w:line="240" w:lineRule="auto"/>
        <w:jc w:val="both"/>
        <w:rPr>
          <w:rFonts w:ascii="Arial" w:hAnsi="Arial" w:cs="Arial"/>
          <w:sz w:val="24"/>
          <w:szCs w:val="24"/>
        </w:rPr>
      </w:pPr>
      <w:r>
        <w:rPr>
          <w:rFonts w:ascii="Arial" w:hAnsi="Arial" w:cs="Arial"/>
          <w:sz w:val="24"/>
          <w:szCs w:val="24"/>
        </w:rPr>
        <w:t xml:space="preserve">Un certificado electrónico basado en un sello electrónico reconocido o cualificado que reúna los requisitos exigidos por la legislación de firma electrónica. </w:t>
      </w:r>
    </w:p>
    <w:p>
      <w:pPr>
        <w:numPr>
          <w:ilvl w:val="0"/>
          <w:numId w:val="7"/>
        </w:numPr>
        <w:spacing w:after="0" w:line="240" w:lineRule="auto"/>
        <w:jc w:val="both"/>
        <w:rPr>
          <w:rFonts w:ascii="Arial" w:hAnsi="Arial" w:cs="Arial"/>
          <w:sz w:val="24"/>
          <w:szCs w:val="24"/>
        </w:rPr>
      </w:pPr>
      <w:r>
        <w:rPr>
          <w:rFonts w:ascii="Arial" w:hAnsi="Arial" w:cs="Arial"/>
          <w:sz w:val="24"/>
          <w:szCs w:val="24"/>
        </w:rPr>
        <w:t xml:space="preserve">Un sello electrónico basado en un certificado electrónico reconocido o cualificado que reúna los requisitos exigidos por la legislación de firma electrónica. </w:t>
      </w:r>
    </w:p>
    <w:p>
      <w:pPr>
        <w:numPr>
          <w:ilvl w:val="0"/>
          <w:numId w:val="7"/>
        </w:numPr>
        <w:spacing w:after="0" w:line="240" w:lineRule="auto"/>
        <w:jc w:val="both"/>
        <w:rPr>
          <w:rFonts w:ascii="Arial" w:hAnsi="Arial" w:cs="Arial"/>
          <w:sz w:val="24"/>
          <w:szCs w:val="24"/>
        </w:rPr>
      </w:pPr>
      <w:r>
        <w:rPr>
          <w:rFonts w:ascii="Arial" w:hAnsi="Arial" w:cs="Arial"/>
          <w:sz w:val="24"/>
          <w:szCs w:val="24"/>
        </w:rPr>
        <w:t xml:space="preserve">Una firma electrónica basada en un certificado electrónico reconocido o cualificado que reúna los requisitos exigidos por la legislación de sello electrónico. </w:t>
      </w:r>
    </w:p>
    <w:p>
      <w:pPr>
        <w:numPr>
          <w:ilvl w:val="0"/>
          <w:numId w:val="7"/>
        </w:numPr>
        <w:spacing w:after="0" w:line="240" w:lineRule="auto"/>
        <w:jc w:val="both"/>
        <w:rPr>
          <w:rFonts w:ascii="Arial" w:hAnsi="Arial" w:cs="Arial"/>
          <w:sz w:val="24"/>
          <w:szCs w:val="24"/>
        </w:rPr>
      </w:pPr>
      <w:r>
        <w:rPr>
          <w:rFonts w:ascii="Arial" w:hAnsi="Arial" w:cs="Arial"/>
          <w:sz w:val="24"/>
          <w:szCs w:val="24"/>
        </w:rPr>
        <w:t xml:space="preserve">Ninguna es correcta. </w:t>
      </w:r>
    </w:p>
    <w:p>
      <w:pPr>
        <w:spacing w:after="0" w:line="240" w:lineRule="auto"/>
        <w:jc w:val="both"/>
        <w:rPr>
          <w:rFonts w:ascii="Arial" w:hAnsi="Arial" w:cs="Arial"/>
          <w:sz w:val="24"/>
          <w:szCs w:val="24"/>
        </w:rPr>
      </w:pPr>
    </w:p>
    <w:p>
      <w:pPr>
        <w:numPr>
          <w:ilvl w:val="0"/>
          <w:numId w:val="2"/>
        </w:numPr>
        <w:spacing w:after="0" w:line="240" w:lineRule="auto"/>
        <w:jc w:val="both"/>
        <w:rPr>
          <w:rFonts w:ascii="Arial" w:hAnsi="Arial" w:cs="Arial"/>
          <w:sz w:val="24"/>
          <w:szCs w:val="24"/>
        </w:rPr>
      </w:pPr>
      <w:r>
        <w:rPr>
          <w:rFonts w:ascii="Arial" w:hAnsi="Arial" w:cs="Arial"/>
          <w:sz w:val="24"/>
          <w:szCs w:val="24"/>
        </w:rPr>
        <w:t xml:space="preserve">Las Administraciones públicas podrán identificarse mediante el uso de un sello electrónico basado en un certificado electrónico reconocido o cualificado que reúna los requisitos exigidos por la legislación de firma electrónica. Estos certificados electrónicos incluirán: </w:t>
      </w:r>
    </w:p>
    <w:p>
      <w:pPr>
        <w:spacing w:after="0" w:line="240" w:lineRule="auto"/>
        <w:jc w:val="both"/>
        <w:rPr>
          <w:rFonts w:ascii="Arial" w:hAnsi="Arial" w:cs="Arial"/>
          <w:sz w:val="24"/>
          <w:szCs w:val="24"/>
        </w:rPr>
      </w:pPr>
    </w:p>
    <w:p>
      <w:pPr>
        <w:numPr>
          <w:ilvl w:val="0"/>
          <w:numId w:val="8"/>
        </w:numPr>
        <w:spacing w:after="0" w:line="240" w:lineRule="auto"/>
        <w:jc w:val="both"/>
        <w:rPr>
          <w:rFonts w:ascii="Arial" w:hAnsi="Arial" w:cs="Arial"/>
          <w:sz w:val="24"/>
          <w:szCs w:val="24"/>
        </w:rPr>
      </w:pPr>
      <w:r>
        <w:rPr>
          <w:rFonts w:ascii="Arial" w:hAnsi="Arial" w:cs="Arial"/>
          <w:sz w:val="24"/>
          <w:szCs w:val="24"/>
        </w:rPr>
        <w:t xml:space="preserve">El número de identificación fiscal y la denominación correspondiente, así como, en su caso, la identidad de la persona titular en el caso </w:t>
      </w:r>
      <w:r>
        <w:rPr>
          <w:rFonts w:ascii="Arial" w:hAnsi="Arial" w:cs="Arial"/>
          <w:sz w:val="24"/>
          <w:szCs w:val="24"/>
        </w:rPr>
        <w:t xml:space="preserve">delos</w:t>
      </w:r>
      <w:r>
        <w:rPr>
          <w:rFonts w:ascii="Arial" w:hAnsi="Arial" w:cs="Arial"/>
          <w:sz w:val="24"/>
          <w:szCs w:val="24"/>
        </w:rPr>
        <w:t xml:space="preserve"> sellos electrónicos de órganos administrativos. </w:t>
      </w:r>
    </w:p>
    <w:p>
      <w:pPr>
        <w:numPr>
          <w:ilvl w:val="0"/>
          <w:numId w:val="8"/>
        </w:numPr>
        <w:spacing w:after="0" w:line="240" w:lineRule="auto"/>
        <w:jc w:val="both"/>
        <w:rPr>
          <w:rFonts w:ascii="Arial" w:hAnsi="Arial" w:cs="Arial"/>
          <w:sz w:val="24"/>
          <w:szCs w:val="24"/>
        </w:rPr>
      </w:pPr>
      <w:r>
        <w:rPr>
          <w:rFonts w:ascii="Arial" w:hAnsi="Arial" w:cs="Arial"/>
          <w:sz w:val="24"/>
          <w:szCs w:val="24"/>
        </w:rPr>
        <w:t xml:space="preserve">El número de deducción fiscal y la afección correspondiente, así como, en su caso, la identidad de la persona titular en el caso de los sellos electrónicos de órganos administrativos. </w:t>
      </w:r>
    </w:p>
    <w:p>
      <w:pPr>
        <w:numPr>
          <w:ilvl w:val="0"/>
          <w:numId w:val="8"/>
        </w:numPr>
        <w:spacing w:after="0" w:line="240" w:lineRule="auto"/>
        <w:jc w:val="both"/>
        <w:rPr>
          <w:rFonts w:ascii="Arial" w:hAnsi="Arial" w:cs="Arial"/>
          <w:sz w:val="24"/>
          <w:szCs w:val="24"/>
        </w:rPr>
      </w:pPr>
      <w:r>
        <w:rPr>
          <w:rFonts w:ascii="Arial" w:hAnsi="Arial" w:cs="Arial"/>
          <w:sz w:val="24"/>
          <w:szCs w:val="24"/>
        </w:rPr>
        <w:t xml:space="preserve">El número de identificación fiscal y la anticipación correspondiente, así como, en su caso, la identidad de la persona titular en el caso de los sellos electrónicos de órganos administrativos. </w:t>
      </w:r>
    </w:p>
    <w:p>
      <w:pPr>
        <w:numPr>
          <w:ilvl w:val="0"/>
          <w:numId w:val="8"/>
        </w:numPr>
        <w:spacing w:after="0" w:line="240" w:lineRule="auto"/>
        <w:jc w:val="both"/>
        <w:rPr>
          <w:rFonts w:ascii="Arial" w:hAnsi="Arial" w:cs="Arial"/>
          <w:sz w:val="24"/>
          <w:szCs w:val="24"/>
        </w:rPr>
      </w:pPr>
      <w:r>
        <w:rPr>
          <w:rFonts w:ascii="Arial" w:hAnsi="Arial" w:cs="Arial"/>
          <w:sz w:val="24"/>
          <w:szCs w:val="24"/>
        </w:rPr>
        <w:t xml:space="preserve">El número de identificación fiscal y la anotación correspondiente, así como, en su caso, la identidad de la persona titular en el caso de los sellos electrónicos de órganos administrativos. </w:t>
      </w:r>
    </w:p>
    <w:p>
      <w:pPr>
        <w:numPr>
          <w:ilvl w:val="0"/>
          <w:numId w:val="2"/>
        </w:numPr>
        <w:spacing w:after="0" w:line="240" w:lineRule="auto"/>
        <w:jc w:val="both"/>
        <w:rPr>
          <w:rFonts w:ascii="Arial" w:hAnsi="Arial" w:cs="Arial"/>
          <w:sz w:val="24"/>
          <w:szCs w:val="24"/>
        </w:rPr>
      </w:pPr>
      <w:r>
        <w:rPr>
          <w:rFonts w:ascii="Arial" w:hAnsi="Arial" w:cs="Arial"/>
          <w:sz w:val="24"/>
          <w:szCs w:val="24"/>
        </w:rPr>
        <w:t xml:space="preserve">La relación de sellos electrónicos utilizados por cada Administración Pública, incluyendo las características de los certificados electrónicos y los prestadores que los expiden: </w:t>
      </w:r>
    </w:p>
    <w:p>
      <w:pPr>
        <w:spacing w:after="0" w:line="240" w:lineRule="auto"/>
        <w:jc w:val="both"/>
        <w:rPr>
          <w:rFonts w:ascii="Arial" w:hAnsi="Arial" w:cs="Arial"/>
          <w:sz w:val="24"/>
          <w:szCs w:val="24"/>
        </w:rPr>
      </w:pPr>
    </w:p>
    <w:p>
      <w:pPr>
        <w:numPr>
          <w:ilvl w:val="0"/>
          <w:numId w:val="9"/>
        </w:numPr>
        <w:spacing w:after="0" w:line="240" w:lineRule="auto"/>
        <w:jc w:val="both"/>
        <w:rPr>
          <w:rFonts w:ascii="Arial" w:hAnsi="Arial" w:cs="Arial"/>
          <w:sz w:val="24"/>
          <w:szCs w:val="24"/>
        </w:rPr>
      </w:pPr>
      <w:r>
        <w:rPr>
          <w:rFonts w:ascii="Arial" w:hAnsi="Arial" w:cs="Arial"/>
          <w:sz w:val="24"/>
          <w:szCs w:val="24"/>
        </w:rPr>
        <w:t xml:space="preserve">Deberá ser publicada y accesible por medios electrónicos. </w:t>
      </w:r>
    </w:p>
    <w:p>
      <w:pPr>
        <w:numPr>
          <w:ilvl w:val="0"/>
          <w:numId w:val="9"/>
        </w:numPr>
        <w:spacing w:after="0" w:line="240" w:lineRule="auto"/>
        <w:jc w:val="both"/>
        <w:rPr>
          <w:rFonts w:ascii="Arial" w:hAnsi="Arial" w:cs="Arial"/>
          <w:sz w:val="24"/>
          <w:szCs w:val="24"/>
        </w:rPr>
      </w:pPr>
      <w:r>
        <w:rPr>
          <w:rFonts w:ascii="Arial" w:hAnsi="Arial" w:cs="Arial"/>
          <w:sz w:val="24"/>
          <w:szCs w:val="24"/>
        </w:rPr>
        <w:t xml:space="preserve">Deberá ser pública y accesible por medios electrónicos. </w:t>
      </w:r>
    </w:p>
    <w:p>
      <w:pPr>
        <w:numPr>
          <w:ilvl w:val="0"/>
          <w:numId w:val="9"/>
        </w:numPr>
        <w:spacing w:after="0" w:line="240" w:lineRule="auto"/>
        <w:jc w:val="both"/>
        <w:rPr>
          <w:rFonts w:ascii="Arial" w:hAnsi="Arial" w:cs="Arial"/>
          <w:sz w:val="24"/>
          <w:szCs w:val="24"/>
        </w:rPr>
      </w:pPr>
      <w:r>
        <w:rPr>
          <w:rFonts w:ascii="Arial" w:hAnsi="Arial" w:cs="Arial"/>
          <w:sz w:val="24"/>
          <w:szCs w:val="24"/>
        </w:rPr>
        <w:t xml:space="preserve">Podrá ser publicada y accesible por medios electrónicos. </w:t>
      </w:r>
    </w:p>
    <w:p>
      <w:pPr>
        <w:numPr>
          <w:ilvl w:val="0"/>
          <w:numId w:val="9"/>
        </w:numPr>
        <w:spacing w:after="0" w:line="240" w:lineRule="auto"/>
        <w:jc w:val="both"/>
        <w:rPr>
          <w:rFonts w:ascii="Arial" w:hAnsi="Arial" w:cs="Arial"/>
          <w:sz w:val="24"/>
          <w:szCs w:val="24"/>
        </w:rPr>
      </w:pPr>
      <w:r>
        <w:rPr>
          <w:rFonts w:ascii="Arial" w:hAnsi="Arial" w:cs="Arial"/>
          <w:sz w:val="24"/>
          <w:szCs w:val="24"/>
        </w:rPr>
        <w:t xml:space="preserve">Podrá ser pública y accesible por medios electrónicos. </w:t>
      </w:r>
    </w:p>
    <w:p>
      <w:pPr>
        <w:spacing w:after="0" w:line="240" w:lineRule="auto"/>
        <w:jc w:val="both"/>
        <w:rPr>
          <w:rFonts w:ascii="Arial" w:hAnsi="Arial" w:cs="Arial"/>
          <w:sz w:val="24"/>
          <w:szCs w:val="24"/>
        </w:rPr>
      </w:pPr>
    </w:p>
    <w:p>
      <w:pPr>
        <w:numPr>
          <w:ilvl w:val="0"/>
          <w:numId w:val="2"/>
        </w:numPr>
        <w:spacing w:after="0" w:line="240" w:lineRule="auto"/>
        <w:jc w:val="both"/>
        <w:rPr>
          <w:rFonts w:ascii="Arial" w:hAnsi="Arial" w:cs="Arial"/>
          <w:sz w:val="24"/>
          <w:szCs w:val="24"/>
        </w:rPr>
      </w:pPr>
      <w:r>
        <w:rPr>
          <w:rFonts w:ascii="Arial" w:hAnsi="Arial" w:cs="Arial"/>
          <w:sz w:val="24"/>
          <w:szCs w:val="24"/>
        </w:rPr>
        <w:t xml:space="preserve">El art 41 nos define la actuación administrativa automatizada que es: </w:t>
      </w:r>
    </w:p>
    <w:p>
      <w:pPr>
        <w:spacing w:after="0" w:line="240" w:lineRule="auto"/>
        <w:jc w:val="both"/>
        <w:rPr>
          <w:rFonts w:ascii="Arial" w:hAnsi="Arial" w:cs="Arial"/>
          <w:sz w:val="24"/>
          <w:szCs w:val="24"/>
        </w:rPr>
      </w:pPr>
    </w:p>
    <w:p>
      <w:pPr>
        <w:numPr>
          <w:ilvl w:val="0"/>
          <w:numId w:val="10"/>
        </w:numPr>
        <w:spacing w:after="0" w:line="240" w:lineRule="auto"/>
        <w:jc w:val="both"/>
        <w:rPr>
          <w:rFonts w:ascii="Arial" w:hAnsi="Arial" w:cs="Arial"/>
          <w:sz w:val="24"/>
          <w:szCs w:val="24"/>
        </w:rPr>
      </w:pPr>
      <w:r>
        <w:rPr>
          <w:rFonts w:ascii="Arial" w:hAnsi="Arial" w:cs="Arial"/>
          <w:sz w:val="24"/>
          <w:szCs w:val="24"/>
        </w:rPr>
        <w:t xml:space="preserve">Cualquier acto o actuación realizada íntegramente a través de medios electrónicos por una Administración Pública en el marco de un procedimiento administrativo y en la que haya intervenido de forma indirecta un empleado público. </w:t>
      </w:r>
    </w:p>
    <w:p>
      <w:pPr>
        <w:numPr>
          <w:ilvl w:val="0"/>
          <w:numId w:val="10"/>
        </w:numPr>
        <w:spacing w:after="0" w:line="240" w:lineRule="auto"/>
        <w:jc w:val="both"/>
        <w:rPr>
          <w:rFonts w:ascii="Arial" w:hAnsi="Arial" w:cs="Arial"/>
          <w:sz w:val="24"/>
          <w:szCs w:val="24"/>
        </w:rPr>
      </w:pPr>
      <w:r>
        <w:rPr>
          <w:rFonts w:ascii="Arial" w:hAnsi="Arial" w:cs="Arial"/>
          <w:sz w:val="24"/>
          <w:szCs w:val="24"/>
        </w:rPr>
        <w:t xml:space="preserve">Cualquier acto o actuación realizada parcialmente a través de medios electrónicos por una Administración </w:t>
      </w:r>
      <w:r>
        <w:rPr>
          <w:rFonts w:ascii="Arial" w:hAnsi="Arial" w:cs="Arial"/>
          <w:sz w:val="24"/>
          <w:szCs w:val="24"/>
        </w:rPr>
        <w:t xml:space="preserve">Publica</w:t>
      </w:r>
      <w:r>
        <w:rPr>
          <w:rFonts w:ascii="Arial" w:hAnsi="Arial" w:cs="Arial"/>
          <w:sz w:val="24"/>
          <w:szCs w:val="24"/>
        </w:rPr>
        <w:t xml:space="preserve"> en el marco de un procedimiento administrativo y en la que haya intervenido de forma directa un empleado público. </w:t>
      </w:r>
    </w:p>
    <w:p>
      <w:pPr>
        <w:numPr>
          <w:ilvl w:val="0"/>
          <w:numId w:val="10"/>
        </w:numPr>
        <w:spacing w:after="0" w:line="240" w:lineRule="auto"/>
        <w:jc w:val="both"/>
        <w:rPr>
          <w:rFonts w:ascii="Arial" w:hAnsi="Arial" w:cs="Arial"/>
          <w:sz w:val="24"/>
          <w:szCs w:val="24"/>
        </w:rPr>
      </w:pPr>
      <w:r>
        <w:rPr>
          <w:rFonts w:ascii="Arial" w:hAnsi="Arial" w:cs="Arial"/>
          <w:sz w:val="24"/>
          <w:szCs w:val="24"/>
        </w:rPr>
        <w:t xml:space="preserve">Cualquier acto o actuación realizada íntegramente a través de medios electrónicos por una Administración Pública en el marco de un procedimiento administrativo y en la que no haya intervenido de forma directa un empleado público. </w:t>
      </w:r>
    </w:p>
    <w:p>
      <w:pPr>
        <w:numPr>
          <w:ilvl w:val="0"/>
          <w:numId w:val="10"/>
        </w:numPr>
        <w:spacing w:after="0" w:line="240" w:lineRule="auto"/>
        <w:jc w:val="both"/>
        <w:rPr>
          <w:rFonts w:ascii="Arial" w:hAnsi="Arial" w:cs="Arial"/>
          <w:sz w:val="24"/>
          <w:szCs w:val="24"/>
        </w:rPr>
      </w:pPr>
      <w:r>
        <w:rPr>
          <w:rFonts w:ascii="Arial" w:hAnsi="Arial" w:cs="Arial"/>
          <w:sz w:val="24"/>
          <w:szCs w:val="24"/>
        </w:rPr>
        <w:t xml:space="preserve">Cualquier acto o actuación realizada parcialmente a través de medios electrónicos por una Administración Pública en el marco de un procedimiento administrativo y en la que no haya intervenido de forma directa un empleado público. </w:t>
      </w:r>
    </w:p>
    <w:p>
      <w:pPr>
        <w:spacing w:after="0" w:line="240" w:lineRule="auto"/>
        <w:jc w:val="both"/>
        <w:rPr>
          <w:rFonts w:ascii="Arial" w:hAnsi="Arial" w:cs="Arial"/>
          <w:sz w:val="24"/>
          <w:szCs w:val="24"/>
        </w:rPr>
      </w:pPr>
    </w:p>
    <w:p>
      <w:pPr>
        <w:numPr>
          <w:ilvl w:val="0"/>
          <w:numId w:val="2"/>
        </w:numPr>
        <w:spacing w:after="0" w:line="240" w:lineRule="auto"/>
        <w:jc w:val="both"/>
        <w:rPr>
          <w:rFonts w:ascii="Arial" w:hAnsi="Arial" w:cs="Arial"/>
          <w:sz w:val="24"/>
          <w:szCs w:val="24"/>
        </w:rPr>
      </w:pPr>
      <w:r>
        <w:rPr>
          <w:rFonts w:ascii="Arial" w:hAnsi="Arial" w:cs="Arial"/>
          <w:sz w:val="24"/>
          <w:szCs w:val="24"/>
        </w:rPr>
        <w:t xml:space="preserve">En caso de actuación administrativa automatizada deberá establecerse previamente el órgano u órganos competentes, según los casos para: </w:t>
      </w:r>
    </w:p>
    <w:p>
      <w:pPr>
        <w:spacing w:after="0" w:line="240" w:lineRule="auto"/>
        <w:jc w:val="both"/>
        <w:rPr>
          <w:rFonts w:ascii="Arial" w:hAnsi="Arial" w:cs="Arial"/>
          <w:sz w:val="24"/>
          <w:szCs w:val="24"/>
        </w:rPr>
      </w:pPr>
    </w:p>
    <w:p>
      <w:pPr>
        <w:numPr>
          <w:ilvl w:val="0"/>
          <w:numId w:val="11"/>
        </w:numPr>
        <w:spacing w:after="0" w:line="240" w:lineRule="auto"/>
        <w:jc w:val="both"/>
        <w:rPr>
          <w:rFonts w:ascii="Arial" w:hAnsi="Arial" w:cs="Arial"/>
          <w:sz w:val="24"/>
          <w:szCs w:val="24"/>
        </w:rPr>
      </w:pPr>
      <w:r>
        <w:rPr>
          <w:rFonts w:ascii="Arial" w:hAnsi="Arial" w:cs="Arial"/>
          <w:sz w:val="24"/>
          <w:szCs w:val="24"/>
        </w:rPr>
        <w:t xml:space="preserve">La definición de las especificaciones, advección, mantenimiento, circunscripción y control de calidad y, en su caso, auditoría del sistema de información y de su código fuente. </w:t>
      </w:r>
    </w:p>
    <w:p>
      <w:pPr>
        <w:numPr>
          <w:ilvl w:val="0"/>
          <w:numId w:val="11"/>
        </w:numPr>
        <w:spacing w:after="0" w:line="240" w:lineRule="auto"/>
        <w:jc w:val="both"/>
        <w:rPr>
          <w:rFonts w:ascii="Arial" w:hAnsi="Arial" w:cs="Arial"/>
          <w:sz w:val="24"/>
          <w:szCs w:val="24"/>
        </w:rPr>
      </w:pPr>
      <w:r>
        <w:rPr>
          <w:rFonts w:ascii="Arial" w:hAnsi="Arial" w:cs="Arial"/>
          <w:sz w:val="24"/>
          <w:szCs w:val="24"/>
        </w:rPr>
        <w:t xml:space="preserve">La definición </w:t>
      </w:r>
      <w:r>
        <w:rPr>
          <w:rFonts w:ascii="Arial" w:hAnsi="Arial" w:cs="Arial"/>
          <w:sz w:val="24"/>
          <w:szCs w:val="24"/>
        </w:rPr>
        <w:t xml:space="preserve">delas</w:t>
      </w:r>
      <w:r>
        <w:rPr>
          <w:rFonts w:ascii="Arial" w:hAnsi="Arial" w:cs="Arial"/>
          <w:sz w:val="24"/>
          <w:szCs w:val="24"/>
        </w:rPr>
        <w:t xml:space="preserve"> especificaciones, colaboración, mantenimiento, supervisión y control de calidad y, en su caso, auditoría del sistema de colegiación y de su código fuente. </w:t>
      </w:r>
    </w:p>
    <w:p>
      <w:pPr>
        <w:numPr>
          <w:ilvl w:val="0"/>
          <w:numId w:val="11"/>
        </w:numPr>
        <w:spacing w:after="0" w:line="240" w:lineRule="auto"/>
        <w:jc w:val="both"/>
        <w:rPr>
          <w:rFonts w:ascii="Arial" w:hAnsi="Arial" w:cs="Arial"/>
          <w:sz w:val="24"/>
          <w:szCs w:val="24"/>
        </w:rPr>
      </w:pPr>
      <w:r>
        <w:rPr>
          <w:rFonts w:ascii="Arial" w:hAnsi="Arial" w:cs="Arial"/>
          <w:sz w:val="24"/>
          <w:szCs w:val="24"/>
        </w:rPr>
        <w:t xml:space="preserve">La definición </w:t>
      </w:r>
      <w:r>
        <w:rPr>
          <w:rFonts w:ascii="Arial" w:hAnsi="Arial" w:cs="Arial"/>
          <w:sz w:val="24"/>
          <w:szCs w:val="24"/>
        </w:rPr>
        <w:t xml:space="preserve">delas</w:t>
      </w:r>
      <w:r>
        <w:rPr>
          <w:rFonts w:ascii="Arial" w:hAnsi="Arial" w:cs="Arial"/>
          <w:sz w:val="24"/>
          <w:szCs w:val="24"/>
        </w:rPr>
        <w:t xml:space="preserve"> especificaciones computación, mantenimiento, circulación y control de calidad y, en su caso, auditoría del sistema de información y de su código fuente. </w:t>
      </w:r>
    </w:p>
    <w:p>
      <w:pPr>
        <w:numPr>
          <w:ilvl w:val="0"/>
          <w:numId w:val="11"/>
        </w:numPr>
        <w:spacing w:after="0" w:line="240" w:lineRule="auto"/>
        <w:jc w:val="both"/>
        <w:rPr>
          <w:rFonts w:ascii="Arial" w:hAnsi="Arial" w:cs="Arial"/>
          <w:sz w:val="24"/>
          <w:szCs w:val="24"/>
        </w:rPr>
      </w:pPr>
      <w:r>
        <w:rPr>
          <w:rFonts w:ascii="Arial" w:hAnsi="Arial" w:cs="Arial"/>
          <w:sz w:val="24"/>
          <w:szCs w:val="24"/>
        </w:rPr>
        <w:t xml:space="preserve">La definición de las especificaciones, programación, mantenimiento, supervisión y control de calidad y, en su caso, auditoría del sistema de información y de su código fuente. </w:t>
      </w:r>
    </w:p>
    <w:p>
      <w:pPr>
        <w:rPr>
          <w:rFonts w:ascii="Arial" w:hAnsi="Arial" w:cs="Arial"/>
          <w:sz w:val="24"/>
          <w:szCs w:val="24"/>
        </w:rPr>
      </w:pPr>
      <w:r>
        <w:rPr>
          <w:rFonts w:ascii="Arial" w:hAnsi="Arial" w:cs="Arial"/>
          <w:sz w:val="24"/>
          <w:szCs w:val="24"/>
        </w:rPr>
        <w:br w:type="page" w:clear="all"/>
      </w:r>
    </w:p>
    <w:p>
      <w:pPr>
        <w:pStyle w:val="Prrafodelista"/>
        <w:numPr>
          <w:ilvl w:val="0"/>
          <w:numId w:val="13"/>
        </w:numPr>
        <w:spacing w:after="0" w:line="240" w:lineRule="auto"/>
        <w:ind w:right="69"/>
        <w:contextualSpacing w:val="false"/>
        <w:jc w:val="both"/>
        <w:rPr>
          <w:rFonts w:ascii="Arial" w:hAnsi="Arial" w:cs="Arial"/>
          <w:sz w:val="24"/>
          <w:szCs w:val="24"/>
        </w:rPr>
      </w:pPr>
      <w:r>
        <w:rPr>
          <w:rFonts w:ascii="Arial" w:hAnsi="Arial" w:eastAsia="Calibri" w:cs="Arial"/>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column">
                  <wp:posOffset>-34146</wp:posOffset>
                </wp:positionH>
                <wp:positionV relativeFrom="paragraph">
                  <wp:posOffset>816453</wp:posOffset>
                </wp:positionV>
                <wp:extent cx="144494" cy="167850"/>
                <wp:effectExtent l="0" t="0" r="0" b="0"/>
                <wp:wrapNone/>
                <wp:docPr id="1" name="Group 2751"/>
                <wp:cNvGraphicFramePr/>
                <a:graphic xmlns:a="http://schemas.openxmlformats.org/drawingml/2006/main">
                  <a:graphicData uri="http://schemas.microsoft.com/office/word/2010/wordprocessingGroup">
                    <wpg:wgp>
                      <wpg:cNvGrpSpPr/>
                      <wpg:grpSpPr>
                        <a:xfrm>
                          <a:off x="0" y="0"/>
                          <a:ext cx="144494" cy="167850"/>
                          <a:chOff x="0" y="0"/>
                          <a:chExt cx="144494" cy="167850"/>
                        </a:xfrm>
                      </wpg:grpSpPr>
                      <wps:wsp>
                        <wps:cNvPr id="91" name="Rectangle 91"/>
                        <wps:cNvSpPr/>
                        <wps:spPr>
                          <a:xfrm rot="10799999">
                            <a:off x="-47682" y="-55389"/>
                            <a:ext cx="192176" cy="223241"/>
                          </a:xfrm>
                          <a:prstGeom prst="rect">
                            <a:avLst/>
                          </a:prstGeom>
                          <a:ln>
                            <a:noFill/>
                          </a:ln>
                        </wps:spPr>
                        <wps:txbx>
                          <w:txbxContent>
                            <w:p>
                              <w:r>
                                <w:rPr>
                                  <w:rFonts w:ascii="Segoe UI Symbol" w:hAnsi="Segoe UI Symbol" w:eastAsia="Segoe UI Symbol" w:cs="Segoe UI Symbol"/>
                                  <w:color w:val="ababab"/>
                                  <w:sz w:val="27"/>
                                </w:rPr>
                                <w:t xml:space="preserve">⚙</w:t>
                              </w:r>
                            </w:p>
                          </w:txbxContent>
                        </wps:txbx>
                        <wps:bodyPr horzOverflow="overflow" vert="horz" lIns="0" tIns="0" rIns="0" bIns="0" rtlCol="0">
                          <a:noAutofit/>
                        </wps:bodyPr>
                      </wps:wsp>
                    </wpg:wgp>
                  </a:graphicData>
                </a:graphic>
              </wp:anchor>
            </w:drawing>
          </mc:Choice>
          <mc:Fallback>
            <w:pict>
              <v:group id="group 0" o:spid="_x0000_s0000" style="position:absolute;z-index:-251659264;o:allowoverlap:true;o:allowincell:true;mso-position-horizontal-relative:text;margin-left:-2.69pt;mso-position-horizontal:absolute;mso-position-vertical-relative:text;margin-top:64.29pt;mso-position-vertical:absolute;width:11.38pt;height:13.22pt;mso-wrap-distance-left:9.00pt;mso-wrap-distance-top:0.00pt;mso-wrap-distance-right:9.00pt;mso-wrap-distance-bottom:0.00pt;" coordorigin="0,0" coordsize="1444,1678">
                <v:shape id="shape 1" o:spid="_x0000_s1" o:spt="1" type="#_x0000_t1" style="position:absolute;left:-476;top:-553;width:1921;height:2232;rotation:179;visibility:visible;" filled="f" stroked="f">
                  <v:textbox inset="0,0,0,0">
                    <w:txbxContent>
                      <w:p>
                        <w:r>
                          <w:rPr>
                            <w:rFonts w:ascii="Segoe UI Symbol" w:hAnsi="Segoe UI Symbol" w:eastAsia="Segoe UI Symbol" w:cs="Segoe UI Symbol"/>
                            <w:color w:val="ababab"/>
                            <w:sz w:val="27"/>
                          </w:rPr>
                          <w:t xml:space="preserve">⚙</w:t>
                        </w:r>
                      </w:p>
                    </w:txbxContent>
                  </v:textbox>
                </v:shape>
              </v:group>
            </w:pict>
          </mc:Fallback>
        </mc:AlternateContent>
      </w:r>
      <w:r>
        <w:rPr>
          <w:rFonts w:ascii="Arial" w:hAnsi="Arial" w:cs="Arial"/>
          <w:sz w:val="24"/>
          <w:szCs w:val="24"/>
        </w:rPr>
        <w:t xml:space="preserve">En cuanto al incumplimiento de las obligaciones y compromisos asumidos por parte de alguno de los firmantes del convenio (señala la incorrecta): </w:t>
      </w:r>
    </w:p>
    <w:p>
      <w:pPr>
        <w:spacing w:after="0" w:line="240" w:lineRule="auto"/>
        <w:ind w:right="69" w:left="15"/>
        <w:jc w:val="both"/>
        <w:rPr>
          <w:rFonts w:ascii="Arial" w:hAnsi="Arial" w:cs="Arial"/>
          <w:sz w:val="24"/>
          <w:szCs w:val="24"/>
        </w:rPr>
      </w:pPr>
    </w:p>
    <w:p>
      <w:pPr>
        <w:spacing w:after="0" w:line="240" w:lineRule="auto"/>
        <w:ind w:right="69" w:left="15"/>
        <w:jc w:val="both"/>
        <w:rPr>
          <w:rFonts w:ascii="Arial" w:hAnsi="Arial" w:cs="Arial"/>
          <w:sz w:val="24"/>
          <w:szCs w:val="24"/>
        </w:rPr>
      </w:pPr>
      <w:r>
        <w:rPr>
          <w:rFonts w:ascii="Arial" w:hAnsi="Arial" w:cs="Arial"/>
          <w:sz w:val="24"/>
          <w:szCs w:val="24"/>
        </w:rPr>
        <w:t xml:space="preserve">a) Cualquiera de las partes podrá notificar a la parte incumplidora un requerimiento para que cumpla en un determinado plazo con las obligaciones o compromisos que se consideran incumplidos </w:t>
      </w:r>
    </w:p>
    <w:p>
      <w:pPr>
        <w:spacing w:after="0" w:line="240" w:lineRule="auto"/>
        <w:ind w:right="69" w:left="15"/>
        <w:jc w:val="both"/>
        <w:rPr>
          <w:rFonts w:ascii="Arial" w:hAnsi="Arial" w:cs="Arial"/>
          <w:sz w:val="24"/>
          <w:szCs w:val="24"/>
        </w:rPr>
      </w:pPr>
      <w:r>
        <w:rPr>
          <w:rFonts w:ascii="Arial" w:hAnsi="Arial" w:cs="Arial"/>
          <w:sz w:val="24"/>
          <w:szCs w:val="24"/>
        </w:rPr>
        <w:t xml:space="preserve">b) Este requerimiento para que se cumplan las obligaciones o compromisos que se consideran incumplidos será comunicado al responsable del mecanismo de seguimiento, vigilancia y control de la ejecución del convenio y a las demás partes firmantes </w:t>
      </w:r>
    </w:p>
    <w:p>
      <w:pPr>
        <w:spacing w:after="0" w:line="240" w:lineRule="auto"/>
        <w:ind w:right="69" w:left="15"/>
        <w:jc w:val="both"/>
        <w:rPr>
          <w:rFonts w:ascii="Arial" w:hAnsi="Arial" w:cs="Arial"/>
          <w:sz w:val="24"/>
          <w:szCs w:val="24"/>
        </w:rPr>
      </w:pPr>
      <w:r>
        <w:rPr>
          <w:rFonts w:ascii="Arial" w:hAnsi="Arial" w:cs="Arial"/>
          <w:sz w:val="24"/>
          <w:szCs w:val="24"/>
        </w:rPr>
        <w:t xml:space="preserve">c) Si trascurrido el plazo indicado en el requerimiento persistiera el incumplimiento, la parte que lo dirigió notificará a las partes firmantes la concurrencia de la causa de resolución y se entenderá resuelto el convenio </w:t>
      </w:r>
    </w:p>
    <w:p>
      <w:pPr>
        <w:spacing w:after="0" w:line="240" w:lineRule="auto"/>
        <w:ind w:right="69" w:left="15"/>
        <w:jc w:val="both"/>
        <w:rPr>
          <w:rFonts w:ascii="Arial" w:hAnsi="Arial" w:cs="Arial"/>
          <w:sz w:val="24"/>
          <w:szCs w:val="24"/>
        </w:rPr>
      </w:pPr>
      <w:r>
        <w:rPr>
          <w:rFonts w:ascii="Arial" w:hAnsi="Arial" w:cs="Arial"/>
          <w:sz w:val="24"/>
          <w:szCs w:val="24"/>
        </w:rPr>
        <w:t xml:space="preserve">d) La resolución del convenio por esta causa conllevará en todo caso la indemnización de los perjuicios causados.</w:t>
      </w:r>
    </w:p>
    <w:p>
      <w:pPr>
        <w:spacing w:after="0" w:line="240" w:lineRule="auto"/>
        <w:ind w:right="69" w:left="15"/>
        <w:jc w:val="both"/>
        <w:rPr>
          <w:rFonts w:ascii="Arial" w:hAnsi="Arial" w:cs="Arial"/>
          <w:sz w:val="24"/>
          <w:szCs w:val="24"/>
        </w:rPr>
      </w:pPr>
    </w:p>
    <w:p>
      <w:pPr>
        <w:pStyle w:val="Prrafodelista"/>
        <w:numPr>
          <w:ilvl w:val="0"/>
          <w:numId w:val="13"/>
        </w:numPr>
        <w:spacing w:after="0" w:line="240" w:lineRule="auto"/>
        <w:ind w:right="69"/>
        <w:contextualSpacing w:val="false"/>
        <w:jc w:val="both"/>
        <w:rPr>
          <w:rFonts w:ascii="Arial" w:hAnsi="Arial" w:cs="Arial"/>
          <w:sz w:val="24"/>
          <w:szCs w:val="24"/>
        </w:rPr>
      </w:pPr>
      <w:r>
        <w:rPr>
          <w:rFonts w:ascii="Arial" w:hAnsi="Arial" w:cs="Arial"/>
          <w:sz w:val="24"/>
          <w:szCs w:val="24"/>
        </w:rPr>
        <w:t xml:space="preserve">Además de las previstas en la presente Ley son causas de resolución de los convenios: </w:t>
      </w:r>
    </w:p>
    <w:p>
      <w:pPr>
        <w:spacing w:after="0" w:line="240" w:lineRule="auto"/>
        <w:ind w:right="69" w:left="15"/>
        <w:jc w:val="both"/>
        <w:rPr>
          <w:rFonts w:ascii="Arial" w:hAnsi="Arial" w:cs="Arial"/>
          <w:sz w:val="24"/>
          <w:szCs w:val="24"/>
        </w:rPr>
      </w:pPr>
    </w:p>
    <w:p>
      <w:pPr>
        <w:spacing w:after="0" w:line="240" w:lineRule="auto"/>
        <w:ind w:right="69" w:left="15"/>
        <w:jc w:val="both"/>
        <w:rPr>
          <w:rFonts w:ascii="Arial" w:hAnsi="Arial" w:cs="Arial"/>
          <w:sz w:val="24"/>
          <w:szCs w:val="24"/>
        </w:rPr>
      </w:pPr>
      <w:r>
        <w:rPr>
          <w:rFonts w:ascii="Arial" w:hAnsi="Arial" w:cs="Arial"/>
          <w:sz w:val="24"/>
          <w:szCs w:val="24"/>
        </w:rPr>
        <w:t xml:space="preserve">a) Cualquier causa prevista en otras Leyes </w:t>
      </w:r>
    </w:p>
    <w:p>
      <w:pPr>
        <w:spacing w:after="0" w:line="240" w:lineRule="auto"/>
        <w:ind w:right="69" w:left="15"/>
        <w:jc w:val="both"/>
        <w:rPr>
          <w:rFonts w:ascii="Arial" w:hAnsi="Arial" w:cs="Arial"/>
          <w:sz w:val="24"/>
          <w:szCs w:val="24"/>
        </w:rPr>
      </w:pPr>
      <w:r>
        <w:rPr>
          <w:rFonts w:ascii="Arial" w:hAnsi="Arial" w:cs="Arial"/>
          <w:sz w:val="24"/>
          <w:szCs w:val="24"/>
        </w:rPr>
        <w:t xml:space="preserve">b) Cualquier causa prevista en el convenio </w:t>
      </w:r>
    </w:p>
    <w:p>
      <w:pPr>
        <w:spacing w:after="0" w:line="240" w:lineRule="auto"/>
        <w:ind w:right="69" w:left="15"/>
        <w:jc w:val="both"/>
        <w:rPr>
          <w:rFonts w:ascii="Arial" w:hAnsi="Arial" w:cs="Arial"/>
          <w:sz w:val="24"/>
          <w:szCs w:val="24"/>
        </w:rPr>
      </w:pPr>
      <w:r>
        <w:rPr>
          <w:rFonts w:ascii="Arial" w:hAnsi="Arial" w:cs="Arial"/>
          <w:sz w:val="24"/>
          <w:szCs w:val="24"/>
        </w:rPr>
        <w:t xml:space="preserve">c) Cualquier causa prevista en el convenio o en otras Leyes </w:t>
      </w:r>
    </w:p>
    <w:p>
      <w:pPr>
        <w:spacing w:after="0" w:line="240" w:lineRule="auto"/>
        <w:ind w:right="69" w:left="15"/>
        <w:jc w:val="both"/>
        <w:rPr>
          <w:rFonts w:ascii="Arial" w:hAnsi="Arial" w:cs="Arial"/>
          <w:sz w:val="24"/>
          <w:szCs w:val="24"/>
        </w:rPr>
      </w:pPr>
      <w:r>
        <w:rPr>
          <w:rFonts w:ascii="Arial" w:hAnsi="Arial" w:cs="Arial"/>
          <w:sz w:val="24"/>
          <w:szCs w:val="24"/>
        </w:rPr>
        <w:t xml:space="preserve">d) Cualquier causa prevista en el derecho internacional.</w:t>
      </w:r>
    </w:p>
    <w:p>
      <w:pPr>
        <w:spacing w:after="0" w:line="240" w:lineRule="auto"/>
        <w:ind w:right="69" w:left="15"/>
        <w:jc w:val="both"/>
        <w:rPr>
          <w:rFonts w:ascii="Arial" w:hAnsi="Arial" w:cs="Arial"/>
          <w:sz w:val="24"/>
          <w:szCs w:val="24"/>
        </w:rPr>
      </w:pPr>
    </w:p>
    <w:p>
      <w:pPr>
        <w:pStyle w:val="Prrafodelista"/>
        <w:numPr>
          <w:ilvl w:val="0"/>
          <w:numId w:val="13"/>
        </w:numPr>
        <w:spacing w:after="0" w:line="240" w:lineRule="auto"/>
        <w:ind w:right="69"/>
        <w:contextualSpacing w:val="false"/>
        <w:jc w:val="both"/>
        <w:rPr>
          <w:rFonts w:ascii="Arial" w:hAnsi="Arial" w:cs="Arial"/>
          <w:sz w:val="24"/>
          <w:szCs w:val="24"/>
        </w:rPr>
      </w:pPr>
      <w:r>
        <w:rPr>
          <w:rFonts w:ascii="Arial" w:hAnsi="Arial" w:cs="Arial"/>
          <w:sz w:val="24"/>
          <w:szCs w:val="24"/>
        </w:rPr>
        <w:t xml:space="preserve">El cumplimiento y la resolución de los convenios dará lugar a la liquidación de los</w:t>
      </w:r>
    </w:p>
    <w:p>
      <w:pPr>
        <w:spacing w:after="0" w:line="240" w:lineRule="auto"/>
        <w:ind w:right="69" w:left="15"/>
        <w:jc w:val="both"/>
        <w:rPr>
          <w:rFonts w:ascii="Arial" w:hAnsi="Arial" w:cs="Arial"/>
          <w:sz w:val="24"/>
          <w:szCs w:val="24"/>
        </w:rPr>
      </w:pPr>
      <w:r>
        <w:rPr>
          <w:rFonts w:ascii="Arial" w:hAnsi="Arial" w:cs="Arial"/>
          <w:sz w:val="24"/>
          <w:szCs w:val="24"/>
        </w:rPr>
        <w:t xml:space="preserve">mismos con el objeto de determinar: </w:t>
      </w:r>
    </w:p>
    <w:p>
      <w:pPr>
        <w:spacing w:after="0" w:line="240" w:lineRule="auto"/>
        <w:ind w:right="69" w:left="15"/>
        <w:jc w:val="both"/>
        <w:rPr>
          <w:rFonts w:ascii="Arial" w:hAnsi="Arial" w:cs="Arial"/>
          <w:sz w:val="24"/>
          <w:szCs w:val="24"/>
        </w:rPr>
      </w:pPr>
    </w:p>
    <w:p>
      <w:pPr>
        <w:spacing w:after="0" w:line="240" w:lineRule="auto"/>
        <w:ind w:right="69" w:left="15"/>
        <w:jc w:val="both"/>
        <w:rPr>
          <w:rFonts w:ascii="Arial" w:hAnsi="Arial" w:cs="Arial"/>
          <w:sz w:val="24"/>
          <w:szCs w:val="24"/>
        </w:rPr>
      </w:pPr>
      <w:r>
        <w:rPr>
          <w:rFonts w:ascii="Arial" w:hAnsi="Arial" w:cs="Arial"/>
          <w:sz w:val="24"/>
          <w:szCs w:val="24"/>
        </w:rPr>
        <w:t xml:space="preserve">a) Las derechos y obligaciones de cada una de</w:t>
      </w:r>
      <w:r>
        <w:rPr>
          <w:rFonts w:ascii="Arial" w:hAnsi="Arial" w:cs="Arial"/>
          <w:szCs w:val="24"/>
        </w:rPr>
        <w:t xml:space="preserve"> </w:t>
      </w:r>
      <w:r>
        <w:rPr>
          <w:rFonts w:ascii="Arial" w:hAnsi="Arial" w:cs="Arial"/>
          <w:sz w:val="24"/>
          <w:szCs w:val="24"/>
        </w:rPr>
        <w:t xml:space="preserve">las partes </w:t>
      </w:r>
    </w:p>
    <w:p>
      <w:pPr>
        <w:spacing w:after="0" w:line="240" w:lineRule="auto"/>
        <w:ind w:right="69"/>
        <w:jc w:val="both"/>
        <w:rPr>
          <w:rFonts w:ascii="Arial" w:hAnsi="Arial" w:cs="Arial"/>
          <w:sz w:val="24"/>
          <w:szCs w:val="24"/>
        </w:rPr>
      </w:pPr>
      <w:r>
        <w:rPr>
          <w:rFonts w:ascii="Arial" w:hAnsi="Arial" w:cs="Arial"/>
          <w:sz w:val="24"/>
          <w:szCs w:val="24"/>
        </w:rPr>
        <w:t xml:space="preserve">b) Las deberes y derechos de cada una de las partes </w:t>
      </w:r>
    </w:p>
    <w:p>
      <w:pPr>
        <w:spacing w:after="0" w:line="240" w:lineRule="auto"/>
        <w:ind w:right="69"/>
        <w:jc w:val="both"/>
        <w:rPr>
          <w:rFonts w:ascii="Arial" w:hAnsi="Arial" w:cs="Arial"/>
          <w:sz w:val="24"/>
          <w:szCs w:val="24"/>
        </w:rPr>
      </w:pPr>
      <w:r>
        <w:rPr>
          <w:rFonts w:ascii="Arial" w:hAnsi="Arial" w:cs="Arial"/>
          <w:sz w:val="24"/>
          <w:szCs w:val="24"/>
        </w:rPr>
        <w:t xml:space="preserve">c) Las obligaciones y compromisos de cada una de las partes </w:t>
      </w:r>
    </w:p>
    <w:p>
      <w:pPr>
        <w:spacing w:after="0" w:line="240" w:lineRule="auto"/>
        <w:ind w:right="69"/>
        <w:jc w:val="both"/>
        <w:rPr>
          <w:rFonts w:ascii="Arial" w:hAnsi="Arial" w:cs="Arial"/>
          <w:sz w:val="24"/>
          <w:szCs w:val="24"/>
        </w:rPr>
      </w:pPr>
      <w:r>
        <w:rPr>
          <w:rFonts w:ascii="Arial" w:hAnsi="Arial" w:cs="Arial"/>
          <w:sz w:val="24"/>
          <w:szCs w:val="24"/>
        </w:rPr>
        <w:t xml:space="preserve">d) Las derechos y compromisos de cada una de las partes.</w:t>
      </w:r>
    </w:p>
    <w:p>
      <w:pPr>
        <w:spacing w:after="0" w:line="240" w:lineRule="auto"/>
        <w:ind w:right="69" w:left="15"/>
        <w:jc w:val="both"/>
        <w:rPr>
          <w:rFonts w:ascii="Arial" w:hAnsi="Arial" w:cs="Arial"/>
          <w:sz w:val="24"/>
          <w:szCs w:val="24"/>
        </w:rPr>
      </w:pPr>
    </w:p>
    <w:p>
      <w:pPr>
        <w:pStyle w:val="Prrafodelista"/>
        <w:numPr>
          <w:ilvl w:val="0"/>
          <w:numId w:val="13"/>
        </w:numPr>
        <w:spacing w:after="0" w:line="240" w:lineRule="auto"/>
        <w:ind w:right="69"/>
        <w:contextualSpacing w:val="false"/>
        <w:jc w:val="both"/>
        <w:rPr>
          <w:rFonts w:ascii="Arial" w:hAnsi="Arial" w:cs="Arial"/>
          <w:sz w:val="24"/>
          <w:szCs w:val="24"/>
        </w:rPr>
      </w:pPr>
      <w:r>
        <w:rPr>
          <w:rFonts w:ascii="Arial" w:hAnsi="Arial" w:cs="Arial"/>
          <w:sz w:val="24"/>
          <w:szCs w:val="24"/>
        </w:rPr>
        <w:t xml:space="preserve">En el supuesto de convenios de los que deriven compromisos financieros, se entenderán cumplidos cuando su objeto se haya realizado en los términos y a satisfacción de ambas partes, de acuerdo con sus respectivas competencias, teniendo en cuenta que si de la liquidación resultara que el importe de las actuaciones ejecutadas por alguna de las partes fuera inferior a los fondos que la misma hubiera recibido del resto de partes del convenio para financiar dicha ejecución, aquella deberá reintegrar a estas el exceso que corresponda a cada una, en el plazo máximo de: </w:t>
      </w:r>
    </w:p>
    <w:p>
      <w:pPr>
        <w:spacing w:after="0" w:line="240" w:lineRule="auto"/>
        <w:ind w:right="69" w:left="15"/>
        <w:jc w:val="both"/>
        <w:rPr>
          <w:rFonts w:ascii="Arial" w:hAnsi="Arial" w:cs="Arial"/>
          <w:sz w:val="24"/>
          <w:szCs w:val="24"/>
        </w:rPr>
      </w:pPr>
    </w:p>
    <w:p>
      <w:pPr>
        <w:spacing w:after="0" w:line="240" w:lineRule="auto"/>
        <w:ind w:right="69" w:left="15"/>
        <w:jc w:val="both"/>
        <w:rPr>
          <w:rFonts w:ascii="Arial" w:hAnsi="Arial" w:cs="Arial"/>
          <w:sz w:val="24"/>
          <w:szCs w:val="24"/>
        </w:rPr>
      </w:pPr>
      <w:r>
        <w:rPr>
          <w:rFonts w:ascii="Arial" w:hAnsi="Arial" w:cs="Arial"/>
          <w:sz w:val="24"/>
          <w:szCs w:val="24"/>
        </w:rPr>
        <w:t xml:space="preserve">a) Un mes desde que se hubiera aprobado la liquidación </w:t>
      </w:r>
    </w:p>
    <w:p>
      <w:pPr>
        <w:spacing w:after="0" w:line="240" w:lineRule="auto"/>
        <w:ind w:right="69" w:left="15"/>
        <w:jc w:val="both"/>
        <w:rPr>
          <w:rFonts w:ascii="Arial" w:hAnsi="Arial" w:cs="Arial"/>
          <w:sz w:val="24"/>
          <w:szCs w:val="24"/>
        </w:rPr>
      </w:pPr>
      <w:r>
        <w:rPr>
          <w:rFonts w:ascii="Arial" w:hAnsi="Arial" w:cs="Arial"/>
          <w:sz w:val="24"/>
          <w:szCs w:val="24"/>
        </w:rPr>
        <w:t xml:space="preserve">b) Dos meses desde que se hubiera aprobado la liquidación </w:t>
      </w:r>
    </w:p>
    <w:p>
      <w:pPr>
        <w:spacing w:after="0" w:line="240" w:lineRule="auto"/>
        <w:ind w:right="69" w:left="15"/>
        <w:jc w:val="both"/>
        <w:rPr>
          <w:rFonts w:ascii="Arial" w:hAnsi="Arial" w:cs="Arial"/>
          <w:sz w:val="24"/>
          <w:szCs w:val="24"/>
        </w:rPr>
      </w:pPr>
      <w:r>
        <w:rPr>
          <w:rFonts w:ascii="Arial" w:hAnsi="Arial" w:cs="Arial"/>
          <w:sz w:val="24"/>
          <w:szCs w:val="24"/>
        </w:rPr>
        <w:t xml:space="preserve">c) Tres meses desde que se hubiera aprobado la liquidación </w:t>
      </w:r>
    </w:p>
    <w:p>
      <w:pPr>
        <w:spacing w:after="0" w:line="240" w:lineRule="auto"/>
        <w:ind w:right="69" w:left="15"/>
        <w:jc w:val="both"/>
        <w:rPr>
          <w:rFonts w:ascii="Arial" w:hAnsi="Arial" w:cs="Arial"/>
          <w:sz w:val="24"/>
          <w:szCs w:val="24"/>
        </w:rPr>
      </w:pPr>
      <w:r>
        <w:rPr>
          <w:rFonts w:ascii="Arial" w:hAnsi="Arial" w:cs="Arial"/>
          <w:sz w:val="24"/>
          <w:szCs w:val="24"/>
        </w:rPr>
        <w:t xml:space="preserve">d) Un año desde que se hubiera aprobado la liquidación.</w:t>
      </w:r>
    </w:p>
    <w:p>
      <w:pPr>
        <w:spacing w:after="0" w:line="240" w:lineRule="auto"/>
        <w:ind w:right="69" w:left="15"/>
        <w:jc w:val="both"/>
        <w:rPr>
          <w:rFonts w:ascii="Arial" w:hAnsi="Arial" w:cs="Arial"/>
          <w:sz w:val="24"/>
          <w:szCs w:val="24"/>
        </w:rPr>
      </w:pPr>
    </w:p>
    <w:p>
      <w:pPr>
        <w:pStyle w:val="Prrafodelista"/>
        <w:numPr>
          <w:ilvl w:val="0"/>
          <w:numId w:val="13"/>
        </w:numPr>
        <w:spacing w:after="0" w:line="240" w:lineRule="auto"/>
        <w:ind w:right="69"/>
        <w:contextualSpacing w:val="false"/>
        <w:jc w:val="both"/>
        <w:rPr>
          <w:rFonts w:ascii="Arial" w:hAnsi="Arial" w:cs="Arial"/>
          <w:sz w:val="24"/>
          <w:szCs w:val="24"/>
        </w:rPr>
      </w:pPr>
      <w:r>
        <w:rPr>
          <w:rFonts w:ascii="Arial" w:hAnsi="Arial" w:cs="Arial"/>
          <w:sz w:val="24"/>
          <w:szCs w:val="24"/>
        </w:rPr>
        <w:t xml:space="preserve">Transcurrido el plazo máximo sin que se haya producido el reintegro, se deberá abonar también el interés de demora aplicable al citado reintegro: </w:t>
      </w:r>
    </w:p>
    <w:p>
      <w:pPr>
        <w:spacing w:after="0" w:line="240" w:lineRule="auto"/>
        <w:ind w:right="69" w:left="15"/>
        <w:jc w:val="both"/>
        <w:rPr>
          <w:rFonts w:ascii="Arial" w:hAnsi="Arial" w:cs="Arial"/>
          <w:sz w:val="24"/>
          <w:szCs w:val="24"/>
        </w:rPr>
      </w:pPr>
    </w:p>
    <w:p>
      <w:pPr>
        <w:spacing w:after="0" w:line="240" w:lineRule="auto"/>
        <w:ind w:right="69" w:left="15"/>
        <w:jc w:val="both"/>
        <w:rPr>
          <w:rFonts w:ascii="Arial" w:hAnsi="Arial" w:cs="Arial"/>
          <w:sz w:val="24"/>
          <w:szCs w:val="24"/>
        </w:rPr>
      </w:pPr>
      <w:r>
        <w:rPr>
          <w:rFonts w:ascii="Arial" w:hAnsi="Arial" w:cs="Arial"/>
          <w:sz w:val="24"/>
          <w:szCs w:val="24"/>
        </w:rPr>
        <w:t xml:space="preserve">a) A contar desde ese momento </w:t>
      </w:r>
    </w:p>
    <w:p>
      <w:pPr>
        <w:spacing w:after="0" w:line="240" w:lineRule="auto"/>
        <w:ind w:right="69" w:left="15"/>
        <w:jc w:val="both"/>
        <w:rPr>
          <w:rFonts w:ascii="Arial" w:hAnsi="Arial" w:cs="Arial"/>
          <w:sz w:val="24"/>
          <w:szCs w:val="24"/>
        </w:rPr>
      </w:pPr>
      <w:r>
        <w:rPr>
          <w:rFonts w:ascii="Arial" w:hAnsi="Arial" w:cs="Arial"/>
          <w:sz w:val="24"/>
          <w:szCs w:val="24"/>
        </w:rPr>
        <w:t xml:space="preserve">b) En el plazo de un mes a contar desde ese momento </w:t>
      </w:r>
    </w:p>
    <w:p>
      <w:pPr>
        <w:spacing w:after="0" w:line="240" w:lineRule="auto"/>
        <w:ind w:right="69" w:left="15"/>
        <w:jc w:val="both"/>
        <w:rPr>
          <w:rFonts w:ascii="Arial" w:hAnsi="Arial" w:cs="Arial"/>
          <w:sz w:val="24"/>
          <w:szCs w:val="24"/>
        </w:rPr>
      </w:pPr>
      <w:r>
        <w:rPr>
          <w:rFonts w:ascii="Arial" w:hAnsi="Arial" w:cs="Arial"/>
          <w:sz w:val="24"/>
          <w:szCs w:val="24"/>
        </w:rPr>
        <w:t xml:space="preserve">c) En el plazo de dos meses a contar desde ese momento </w:t>
      </w:r>
    </w:p>
    <w:p>
      <w:pPr>
        <w:spacing w:after="0" w:line="240" w:lineRule="auto"/>
        <w:ind w:right="69" w:left="15"/>
        <w:jc w:val="both"/>
        <w:rPr>
          <w:rFonts w:ascii="Arial" w:hAnsi="Arial" w:cs="Arial"/>
          <w:sz w:val="24"/>
          <w:szCs w:val="24"/>
        </w:rPr>
      </w:pPr>
      <w:r>
        <w:rPr>
          <w:rFonts w:ascii="Arial" w:hAnsi="Arial" w:cs="Arial"/>
          <w:sz w:val="24"/>
          <w:szCs w:val="24"/>
        </w:rPr>
        <w:t xml:space="preserve">d) En el plazo de tres meses a contar desde ese momento.</w:t>
      </w:r>
    </w:p>
    <w:p>
      <w:pPr>
        <w:spacing w:after="0" w:line="240" w:lineRule="auto"/>
        <w:ind w:right="69" w:left="15"/>
        <w:jc w:val="both"/>
        <w:rPr>
          <w:rFonts w:ascii="Arial" w:hAnsi="Arial" w:cs="Arial"/>
          <w:sz w:val="24"/>
          <w:szCs w:val="24"/>
        </w:rPr>
      </w:pPr>
    </w:p>
    <w:p>
      <w:pPr>
        <w:pStyle w:val="Prrafodelista"/>
        <w:numPr>
          <w:ilvl w:val="0"/>
          <w:numId w:val="13"/>
        </w:numPr>
        <w:spacing w:after="0" w:line="240" w:lineRule="auto"/>
        <w:ind w:right="69"/>
        <w:contextualSpacing w:val="false"/>
        <w:jc w:val="both"/>
        <w:rPr>
          <w:rFonts w:ascii="Arial" w:hAnsi="Arial" w:cs="Arial"/>
          <w:sz w:val="24"/>
          <w:szCs w:val="24"/>
        </w:rPr>
      </w:pPr>
      <w:r>
        <w:rPr>
          <w:rFonts w:ascii="Arial" w:hAnsi="Arial" w:cs="Arial"/>
          <w:sz w:val="24"/>
          <w:szCs w:val="24"/>
        </w:rPr>
        <w:t xml:space="preserve">En el supuesto de convenios de los que deriven compromisos financieros, se entenderán cumplidos cuando su objeto se haya realizado en los términos y a satisfacción de ambas partes, de acuerdo con sus respectivas competencias, teniendo en cuenta que si de la liquidación resultara que el importe de las actuaciones ejecutadas por alguna de las partes fuera superior a los fondos que la misma hubiera recibido del resto de partes del convenio para financiar dicha ejecución, el resto de partes del convenio, deberá abonar a la parte de que se trate la diferencia que corresponda a cada una de ellas, con el límite máximo de las cantidades que cada una de ellas se hubiera comprometido a aportar en virtud del convenio: </w:t>
      </w:r>
    </w:p>
    <w:p>
      <w:pPr>
        <w:spacing w:after="0" w:line="240" w:lineRule="auto"/>
        <w:ind w:right="69" w:left="15"/>
        <w:jc w:val="both"/>
        <w:rPr>
          <w:rFonts w:ascii="Arial" w:hAnsi="Arial" w:cs="Arial"/>
          <w:sz w:val="24"/>
          <w:szCs w:val="24"/>
        </w:rPr>
      </w:pPr>
    </w:p>
    <w:p>
      <w:pPr>
        <w:spacing w:after="0" w:line="240" w:lineRule="auto"/>
        <w:ind w:right="69" w:left="15"/>
        <w:jc w:val="both"/>
        <w:rPr>
          <w:rFonts w:ascii="Arial" w:hAnsi="Arial" w:cs="Arial"/>
          <w:sz w:val="24"/>
          <w:szCs w:val="24"/>
        </w:rPr>
      </w:pPr>
      <w:r>
        <w:rPr>
          <w:rFonts w:ascii="Arial" w:hAnsi="Arial" w:cs="Arial"/>
          <w:sz w:val="24"/>
          <w:szCs w:val="24"/>
        </w:rPr>
        <w:t xml:space="preserve">a) En el plazo de un mes desde la aprobación de la liquidación </w:t>
      </w:r>
    </w:p>
    <w:p>
      <w:pPr>
        <w:spacing w:after="0" w:line="240" w:lineRule="auto"/>
        <w:ind w:right="69" w:left="15"/>
        <w:jc w:val="both"/>
        <w:rPr>
          <w:rFonts w:ascii="Arial" w:hAnsi="Arial" w:cs="Arial"/>
          <w:sz w:val="24"/>
          <w:szCs w:val="24"/>
        </w:rPr>
      </w:pPr>
      <w:r>
        <w:rPr>
          <w:rFonts w:ascii="Arial" w:hAnsi="Arial" w:cs="Arial"/>
          <w:sz w:val="24"/>
          <w:szCs w:val="24"/>
        </w:rPr>
        <w:t xml:space="preserve">b) En el plazo de dos meses desde la aprobación de la liquidación </w:t>
      </w:r>
    </w:p>
    <w:p>
      <w:pPr>
        <w:spacing w:after="0" w:line="240" w:lineRule="auto"/>
        <w:ind w:right="69" w:left="15"/>
        <w:jc w:val="both"/>
        <w:rPr>
          <w:rFonts w:ascii="Arial" w:hAnsi="Arial" w:cs="Arial"/>
          <w:sz w:val="24"/>
          <w:szCs w:val="24"/>
        </w:rPr>
      </w:pPr>
      <w:r>
        <w:rPr>
          <w:rFonts w:ascii="Arial" w:hAnsi="Arial" w:cs="Arial"/>
          <w:sz w:val="24"/>
          <w:szCs w:val="24"/>
        </w:rPr>
        <w:t xml:space="preserve">c) En el plazo de tres meses desde la aprobación de la liquidación </w:t>
      </w:r>
    </w:p>
    <w:p>
      <w:pPr>
        <w:spacing w:after="0" w:line="240" w:lineRule="auto"/>
        <w:ind w:right="69" w:left="15"/>
        <w:jc w:val="both"/>
        <w:rPr>
          <w:rFonts w:ascii="Arial" w:hAnsi="Arial" w:cs="Arial"/>
          <w:sz w:val="24"/>
          <w:szCs w:val="24"/>
        </w:rPr>
      </w:pPr>
      <w:r>
        <w:rPr>
          <w:rFonts w:ascii="Arial" w:hAnsi="Arial" w:cs="Arial"/>
          <w:sz w:val="24"/>
          <w:szCs w:val="24"/>
        </w:rPr>
        <w:t xml:space="preserve">d) En el plazo de un año desde la aprobación de la liquidación.</w:t>
      </w:r>
    </w:p>
    <w:p>
      <w:pPr>
        <w:spacing w:after="0" w:line="240" w:lineRule="auto"/>
        <w:ind w:right="69" w:left="15"/>
        <w:jc w:val="both"/>
        <w:rPr>
          <w:rFonts w:ascii="Arial" w:hAnsi="Arial" w:cs="Arial"/>
          <w:sz w:val="24"/>
          <w:szCs w:val="24"/>
        </w:rPr>
      </w:pPr>
    </w:p>
    <w:p>
      <w:pPr>
        <w:pStyle w:val="Prrafodelista"/>
        <w:numPr>
          <w:ilvl w:val="0"/>
          <w:numId w:val="13"/>
        </w:numPr>
        <w:spacing w:after="0" w:line="240" w:lineRule="auto"/>
        <w:ind w:right="69"/>
        <w:contextualSpacing w:val="false"/>
        <w:jc w:val="both"/>
        <w:rPr>
          <w:rFonts w:ascii="Arial" w:hAnsi="Arial" w:cs="Arial"/>
          <w:sz w:val="24"/>
          <w:szCs w:val="24"/>
        </w:rPr>
      </w:pPr>
      <w:r>
        <w:rPr>
          <w:rFonts w:ascii="Arial" w:hAnsi="Arial" w:cs="Arial"/>
          <w:sz w:val="24"/>
          <w:szCs w:val="24"/>
        </w:rPr>
        <w:t xml:space="preserve">Si cuando concurra cualquiera de las causas de resolución del convenio existen actuaciones en curso de ejecución, las partes, a propuesta de la comisión de seguimiento, vigilancia y control del convenio o, en su defecto, del responsable del mecanismo a que hace referencia la letra f) del artículo 49, podrán acordar la continuación y finalización de las actuaciones en curso que consideren oportunas, estableciendo: </w:t>
      </w:r>
    </w:p>
    <w:p>
      <w:pPr>
        <w:spacing w:after="0" w:line="240" w:lineRule="auto"/>
        <w:ind w:right="69" w:left="15"/>
        <w:jc w:val="both"/>
        <w:rPr>
          <w:rFonts w:ascii="Arial" w:hAnsi="Arial" w:cs="Arial"/>
          <w:sz w:val="24"/>
          <w:szCs w:val="24"/>
        </w:rPr>
      </w:pPr>
    </w:p>
    <w:p>
      <w:pPr>
        <w:spacing w:after="0" w:line="240" w:lineRule="auto"/>
        <w:ind w:right="69" w:left="15"/>
        <w:jc w:val="both"/>
        <w:rPr>
          <w:rFonts w:ascii="Arial" w:hAnsi="Arial" w:cs="Arial"/>
          <w:sz w:val="24"/>
          <w:szCs w:val="24"/>
        </w:rPr>
      </w:pPr>
      <w:r>
        <w:rPr>
          <w:rFonts w:ascii="Arial" w:hAnsi="Arial" w:cs="Arial"/>
          <w:sz w:val="24"/>
          <w:szCs w:val="24"/>
        </w:rPr>
        <w:t xml:space="preserve">a) Un plazo improrrogable para su finalización, transcurrido el cual no podrá realizarse la liquidación un plazo improrrogable para su finalización, transcurrido el cual no podrá realizarse la liquidación </w:t>
      </w:r>
    </w:p>
    <w:p>
      <w:pPr>
        <w:spacing w:after="0" w:line="240" w:lineRule="auto"/>
        <w:ind w:right="69" w:left="15"/>
        <w:jc w:val="both"/>
        <w:rPr>
          <w:rFonts w:ascii="Arial" w:hAnsi="Arial" w:cs="Arial"/>
          <w:sz w:val="24"/>
          <w:szCs w:val="24"/>
        </w:rPr>
      </w:pPr>
      <w:r>
        <w:rPr>
          <w:rFonts w:ascii="Arial" w:hAnsi="Arial" w:cs="Arial"/>
          <w:sz w:val="24"/>
          <w:szCs w:val="24"/>
        </w:rPr>
        <w:t xml:space="preserve">b) Un plazo prorrogable para su finalización, transcurrido el cual deberá realizarse la liquidación </w:t>
      </w:r>
    </w:p>
    <w:p>
      <w:pPr>
        <w:spacing w:after="0" w:line="240" w:lineRule="auto"/>
        <w:ind w:right="69" w:left="15"/>
        <w:jc w:val="both"/>
        <w:rPr>
          <w:rFonts w:ascii="Arial" w:hAnsi="Arial" w:cs="Arial"/>
          <w:sz w:val="24"/>
          <w:szCs w:val="24"/>
        </w:rPr>
      </w:pPr>
      <w:r>
        <w:rPr>
          <w:rFonts w:ascii="Arial" w:hAnsi="Arial" w:cs="Arial"/>
          <w:sz w:val="24"/>
          <w:szCs w:val="24"/>
        </w:rPr>
        <w:t xml:space="preserve">c) Un plazo prorrogable para su finalización, transcurrido el cual no podrá realizarse la liquidación </w:t>
      </w:r>
    </w:p>
    <w:p>
      <w:pPr>
        <w:spacing w:after="0" w:line="240" w:lineRule="auto"/>
        <w:ind w:right="69" w:left="15"/>
        <w:jc w:val="both"/>
        <w:rPr>
          <w:rFonts w:ascii="Arial" w:hAnsi="Arial" w:cs="Arial"/>
          <w:sz w:val="24"/>
          <w:szCs w:val="24"/>
        </w:rPr>
      </w:pPr>
      <w:r>
        <w:rPr>
          <w:rFonts w:ascii="Arial" w:hAnsi="Arial" w:cs="Arial"/>
          <w:sz w:val="24"/>
          <w:szCs w:val="24"/>
        </w:rPr>
        <w:t xml:space="preserve">d) Un plazo improrrogable para su finalización, transcurrido el cual deberá realizarse la liquidación</w:t>
      </w:r>
    </w:p>
    <w:p>
      <w:pPr>
        <w:spacing w:after="0" w:line="240" w:lineRule="auto"/>
        <w:ind w:right="69" w:left="15"/>
        <w:jc w:val="both"/>
        <w:rPr>
          <w:rFonts w:ascii="Arial" w:hAnsi="Arial" w:cs="Arial"/>
          <w:sz w:val="24"/>
          <w:szCs w:val="24"/>
        </w:rPr>
      </w:pPr>
    </w:p>
    <w:p>
      <w:pPr>
        <w:pStyle w:val="Prrafodelista"/>
        <w:numPr>
          <w:ilvl w:val="0"/>
          <w:numId w:val="13"/>
        </w:numPr>
        <w:spacing w:after="0" w:line="240" w:lineRule="auto"/>
        <w:ind w:right="69"/>
        <w:contextualSpacing w:val="false"/>
        <w:jc w:val="both"/>
        <w:rPr>
          <w:rFonts w:ascii="Arial" w:hAnsi="Arial" w:cs="Arial"/>
          <w:sz w:val="24"/>
          <w:szCs w:val="24"/>
        </w:rPr>
      </w:pPr>
      <w:r>
        <w:rPr>
          <w:rFonts w:ascii="Arial" w:hAnsi="Arial" w:cs="Arial"/>
          <w:sz w:val="24"/>
          <w:szCs w:val="24"/>
        </w:rPr>
        <w:t xml:space="preserve">Deberán remitirse electrónicamente al Tribunal de Cuentas u órgano externo de fiscalización de la Comunidad Autónoma, según corresponda los convenios cuyos compromisos económicos asumidos superen: </w:t>
      </w:r>
    </w:p>
    <w:p>
      <w:pPr>
        <w:spacing w:after="0" w:line="240" w:lineRule="auto"/>
        <w:ind w:right="69" w:left="15"/>
        <w:jc w:val="both"/>
        <w:rPr>
          <w:rFonts w:ascii="Arial" w:hAnsi="Arial" w:cs="Arial"/>
          <w:sz w:val="24"/>
          <w:szCs w:val="24"/>
        </w:rPr>
      </w:pPr>
    </w:p>
    <w:p>
      <w:pPr>
        <w:spacing w:after="0" w:line="240" w:lineRule="auto"/>
        <w:ind w:right="69" w:left="15"/>
        <w:jc w:val="both"/>
        <w:rPr>
          <w:rFonts w:ascii="Arial" w:hAnsi="Arial" w:cs="Arial"/>
          <w:sz w:val="24"/>
          <w:szCs w:val="24"/>
        </w:rPr>
      </w:pPr>
      <w:r>
        <w:rPr>
          <w:rFonts w:ascii="Arial" w:hAnsi="Arial" w:cs="Arial"/>
          <w:sz w:val="24"/>
          <w:szCs w:val="24"/>
        </w:rPr>
        <w:t xml:space="preserve">a) Los 300.000 euros dentro de los 3 meses siguientes a su suscripción </w:t>
      </w:r>
    </w:p>
    <w:p>
      <w:pPr>
        <w:spacing w:after="0" w:line="240" w:lineRule="auto"/>
        <w:ind w:right="69" w:left="15"/>
        <w:jc w:val="both"/>
        <w:rPr>
          <w:rFonts w:ascii="Arial" w:hAnsi="Arial" w:cs="Arial"/>
          <w:sz w:val="24"/>
          <w:szCs w:val="24"/>
        </w:rPr>
      </w:pPr>
      <w:r>
        <w:rPr>
          <w:rFonts w:ascii="Arial" w:hAnsi="Arial" w:cs="Arial"/>
          <w:sz w:val="24"/>
          <w:szCs w:val="24"/>
        </w:rPr>
        <w:t xml:space="preserve">b) Los 300.000 euros dentro de los 6 meses siguientes a su suscripción </w:t>
      </w:r>
    </w:p>
    <w:p>
      <w:pPr>
        <w:spacing w:after="0" w:line="240" w:lineRule="auto"/>
        <w:ind w:right="69" w:left="15"/>
        <w:jc w:val="both"/>
        <w:rPr>
          <w:rFonts w:ascii="Arial" w:hAnsi="Arial" w:cs="Arial"/>
          <w:sz w:val="24"/>
          <w:szCs w:val="24"/>
        </w:rPr>
      </w:pPr>
      <w:r>
        <w:rPr>
          <w:rFonts w:ascii="Arial" w:hAnsi="Arial" w:cs="Arial"/>
          <w:sz w:val="24"/>
          <w:szCs w:val="24"/>
        </w:rPr>
        <w:t xml:space="preserve">c) Los 600.000 euros dentro de los 3 meses siguientes a su suscripción </w:t>
      </w:r>
    </w:p>
    <w:p>
      <w:pPr>
        <w:spacing w:after="0" w:line="240" w:lineRule="auto"/>
        <w:ind w:right="69" w:left="15"/>
        <w:jc w:val="both"/>
        <w:rPr>
          <w:rFonts w:ascii="Arial" w:hAnsi="Arial" w:cs="Arial"/>
          <w:sz w:val="24"/>
          <w:szCs w:val="24"/>
        </w:rPr>
      </w:pPr>
      <w:r>
        <w:rPr>
          <w:rFonts w:ascii="Arial" w:hAnsi="Arial" w:cs="Arial"/>
          <w:sz w:val="24"/>
          <w:szCs w:val="24"/>
        </w:rPr>
        <w:t xml:space="preserve">d) Los 600.000 euros dentro de los 6 meses siguientes a su suscripción</w:t>
      </w:r>
    </w:p>
    <w:p>
      <w:pPr>
        <w:pStyle w:val="Prrafodelista"/>
        <w:numPr>
          <w:ilvl w:val="0"/>
          <w:numId w:val="13"/>
        </w:numPr>
        <w:spacing w:after="0" w:line="240" w:lineRule="auto"/>
        <w:ind w:right="69"/>
        <w:contextualSpacing w:val="false"/>
        <w:jc w:val="both"/>
        <w:rPr>
          <w:rFonts w:ascii="Arial" w:hAnsi="Arial" w:cs="Arial"/>
          <w:sz w:val="24"/>
          <w:szCs w:val="24"/>
        </w:rPr>
      </w:pPr>
      <w:r>
        <w:rPr>
          <w:rFonts w:ascii="Arial" w:hAnsi="Arial" w:cs="Arial"/>
          <w:sz w:val="24"/>
          <w:szCs w:val="24"/>
        </w:rPr>
        <w:t xml:space="preserve">Se comunicarán al Tribunal de Cuentas u órgano externo de fiscalización de la Comunidad Autónoma, según corresponda: </w:t>
      </w:r>
    </w:p>
    <w:p>
      <w:pPr>
        <w:spacing w:after="0" w:line="240" w:lineRule="auto"/>
        <w:ind w:right="69" w:left="15"/>
        <w:jc w:val="both"/>
        <w:rPr>
          <w:rFonts w:ascii="Arial" w:hAnsi="Arial" w:cs="Arial"/>
          <w:sz w:val="24"/>
          <w:szCs w:val="24"/>
        </w:rPr>
      </w:pPr>
    </w:p>
    <w:p>
      <w:pPr>
        <w:spacing w:after="0" w:line="240" w:lineRule="auto"/>
        <w:ind w:right="69" w:left="15"/>
        <w:jc w:val="both"/>
        <w:rPr>
          <w:rFonts w:ascii="Arial" w:hAnsi="Arial" w:cs="Arial"/>
          <w:sz w:val="24"/>
          <w:szCs w:val="24"/>
        </w:rPr>
      </w:pPr>
      <w:r>
        <w:rPr>
          <w:rFonts w:ascii="Arial" w:hAnsi="Arial" w:cs="Arial"/>
          <w:sz w:val="24"/>
          <w:szCs w:val="24"/>
        </w:rPr>
        <w:t xml:space="preserve">a) Las modificaciones, prórrogas o variaciones de plazos </w:t>
      </w:r>
    </w:p>
    <w:p>
      <w:pPr>
        <w:spacing w:after="0" w:line="240" w:lineRule="auto"/>
        <w:ind w:right="69" w:left="15"/>
        <w:jc w:val="both"/>
        <w:rPr>
          <w:rFonts w:ascii="Arial" w:hAnsi="Arial" w:cs="Arial"/>
          <w:sz w:val="24"/>
          <w:szCs w:val="24"/>
        </w:rPr>
      </w:pPr>
      <w:r>
        <w:rPr>
          <w:rFonts w:ascii="Arial" w:hAnsi="Arial" w:cs="Arial"/>
          <w:sz w:val="24"/>
          <w:szCs w:val="24"/>
        </w:rPr>
        <w:t xml:space="preserve">b) La alteración de los importes de los compromisos económicos asumidos </w:t>
      </w:r>
    </w:p>
    <w:p>
      <w:pPr>
        <w:spacing w:after="0" w:line="240" w:lineRule="auto"/>
        <w:ind w:right="69" w:left="15"/>
        <w:jc w:val="both"/>
        <w:rPr>
          <w:rFonts w:ascii="Arial" w:hAnsi="Arial" w:cs="Arial"/>
          <w:sz w:val="24"/>
          <w:szCs w:val="24"/>
        </w:rPr>
      </w:pPr>
      <w:r>
        <w:rPr>
          <w:rFonts w:ascii="Arial" w:hAnsi="Arial" w:cs="Arial"/>
          <w:sz w:val="24"/>
          <w:szCs w:val="24"/>
        </w:rPr>
        <w:t xml:space="preserve">c) La extinción de los convenios indicados </w:t>
      </w:r>
    </w:p>
    <w:p>
      <w:pPr>
        <w:spacing w:after="0" w:line="240" w:lineRule="auto"/>
        <w:ind w:right="69" w:left="15"/>
        <w:jc w:val="both"/>
        <w:rPr>
          <w:rFonts w:ascii="Arial" w:hAnsi="Arial" w:cs="Arial"/>
          <w:sz w:val="24"/>
          <w:szCs w:val="24"/>
        </w:rPr>
      </w:pPr>
      <w:r>
        <w:rPr>
          <w:rFonts w:ascii="Arial" w:hAnsi="Arial" w:cs="Arial"/>
          <w:sz w:val="24"/>
          <w:szCs w:val="24"/>
        </w:rPr>
        <w:t xml:space="preserve">d) Todas son correctas</w:t>
      </w:r>
    </w:p>
    <w:p>
      <w:pPr>
        <w:spacing w:after="0" w:line="240" w:lineRule="auto"/>
        <w:ind w:right="69" w:left="15"/>
        <w:jc w:val="both"/>
        <w:rPr>
          <w:rFonts w:ascii="Arial" w:hAnsi="Arial" w:cs="Arial"/>
          <w:sz w:val="24"/>
          <w:szCs w:val="24"/>
        </w:rPr>
      </w:pPr>
    </w:p>
    <w:p>
      <w:pPr>
        <w:pStyle w:val="Prrafodelista"/>
        <w:numPr>
          <w:ilvl w:val="0"/>
          <w:numId w:val="13"/>
        </w:numPr>
        <w:spacing w:after="0" w:line="240" w:lineRule="auto"/>
        <w:ind w:right="69"/>
        <w:contextualSpacing w:val="false"/>
        <w:jc w:val="both"/>
        <w:rPr>
          <w:rFonts w:ascii="Arial" w:hAnsi="Arial" w:cs="Arial"/>
          <w:sz w:val="24"/>
          <w:szCs w:val="24"/>
        </w:rPr>
      </w:pPr>
      <w:r>
        <w:rPr>
          <w:rFonts w:ascii="Arial" w:hAnsi="Arial" w:cs="Arial"/>
          <w:sz w:val="24"/>
          <w:szCs w:val="24"/>
        </w:rPr>
        <w:t xml:space="preserve">El Título preliminar de la Ley 40/2015, de 1 de octubre, de Régimen Jurídico del Sector Público se denomina: </w:t>
      </w:r>
    </w:p>
    <w:p>
      <w:pPr>
        <w:spacing w:after="0" w:line="240" w:lineRule="auto"/>
        <w:ind w:right="69" w:left="15"/>
        <w:jc w:val="both"/>
        <w:rPr>
          <w:rFonts w:ascii="Arial" w:hAnsi="Arial" w:cs="Arial"/>
          <w:sz w:val="24"/>
          <w:szCs w:val="24"/>
        </w:rPr>
      </w:pPr>
    </w:p>
    <w:p>
      <w:pPr>
        <w:spacing w:after="0" w:line="240" w:lineRule="auto"/>
        <w:ind w:right="69" w:left="15"/>
        <w:jc w:val="both"/>
        <w:rPr>
          <w:rFonts w:ascii="Arial" w:hAnsi="Arial" w:cs="Arial"/>
          <w:sz w:val="24"/>
          <w:szCs w:val="24"/>
        </w:rPr>
      </w:pPr>
      <w:r>
        <w:rPr>
          <w:rFonts w:ascii="Arial" w:hAnsi="Arial" w:cs="Arial"/>
          <w:sz w:val="24"/>
          <w:szCs w:val="24"/>
        </w:rPr>
        <w:t xml:space="preserve">a) Disposiciones generales, principios de actuación y funcionamiento del sector público </w:t>
      </w:r>
    </w:p>
    <w:p>
      <w:pPr>
        <w:spacing w:after="0" w:line="240" w:lineRule="auto"/>
        <w:ind w:right="69" w:left="15"/>
        <w:jc w:val="both"/>
        <w:rPr>
          <w:rFonts w:ascii="Arial" w:hAnsi="Arial" w:cs="Arial"/>
          <w:sz w:val="24"/>
          <w:szCs w:val="24"/>
        </w:rPr>
      </w:pPr>
      <w:r>
        <w:rPr>
          <w:rFonts w:ascii="Arial" w:hAnsi="Arial" w:cs="Arial"/>
          <w:sz w:val="24"/>
          <w:szCs w:val="24"/>
        </w:rPr>
        <w:t xml:space="preserve">b) Administración General del Estado </w:t>
      </w:r>
    </w:p>
    <w:p>
      <w:pPr>
        <w:spacing w:after="0" w:line="240" w:lineRule="auto"/>
        <w:ind w:right="69" w:left="15"/>
        <w:jc w:val="both"/>
        <w:rPr>
          <w:rFonts w:ascii="Arial" w:hAnsi="Arial" w:cs="Arial"/>
          <w:sz w:val="24"/>
          <w:szCs w:val="24"/>
        </w:rPr>
      </w:pPr>
      <w:r>
        <w:rPr>
          <w:rFonts w:ascii="Arial" w:hAnsi="Arial" w:cs="Arial"/>
          <w:sz w:val="24"/>
          <w:szCs w:val="24"/>
        </w:rPr>
        <w:t xml:space="preserve">c) Organización y funcionamiento del sector público institucional </w:t>
      </w:r>
    </w:p>
    <w:p>
      <w:pPr>
        <w:spacing w:after="0" w:line="240" w:lineRule="auto"/>
        <w:ind w:right="69" w:left="15"/>
        <w:jc w:val="both"/>
        <w:rPr>
          <w:rFonts w:ascii="Arial" w:hAnsi="Arial" w:cs="Arial"/>
          <w:sz w:val="24"/>
          <w:szCs w:val="24"/>
        </w:rPr>
      </w:pPr>
      <w:r>
        <w:rPr>
          <w:rFonts w:ascii="Arial" w:hAnsi="Arial" w:cs="Arial"/>
          <w:sz w:val="24"/>
          <w:szCs w:val="24"/>
        </w:rPr>
        <w:t xml:space="preserve">d) Relaciones interadministrativas.</w:t>
      </w:r>
    </w:p>
    <w:p>
      <w:pPr>
        <w:spacing w:after="0" w:line="240" w:lineRule="auto"/>
        <w:ind w:right="69" w:left="15"/>
        <w:jc w:val="both"/>
        <w:rPr>
          <w:rFonts w:ascii="Arial" w:hAnsi="Arial" w:cs="Arial"/>
          <w:sz w:val="24"/>
          <w:szCs w:val="24"/>
        </w:rPr>
      </w:pPr>
    </w:p>
    <w:p>
      <w:pPr>
        <w:pStyle w:val="Prrafodelista"/>
        <w:numPr>
          <w:ilvl w:val="0"/>
          <w:numId w:val="13"/>
        </w:numPr>
        <w:spacing w:after="0" w:line="240" w:lineRule="auto"/>
        <w:ind w:right="69"/>
        <w:contextualSpacing w:val="false"/>
        <w:jc w:val="both"/>
        <w:rPr>
          <w:rFonts w:ascii="Arial" w:hAnsi="Arial" w:cs="Arial"/>
          <w:sz w:val="24"/>
          <w:szCs w:val="24"/>
        </w:rPr>
      </w:pPr>
      <w:r>
        <w:rPr>
          <w:rFonts w:ascii="Arial" w:hAnsi="Arial" w:cs="Arial"/>
          <w:sz w:val="24"/>
          <w:szCs w:val="24"/>
        </w:rPr>
        <w:t xml:space="preserve">El Título preliminar de la Ley 40/2015, de 1 de octubre, de Régimen Jurídico del Sector Público tiene: </w:t>
      </w:r>
    </w:p>
    <w:p>
      <w:pPr>
        <w:spacing w:after="0" w:line="240" w:lineRule="auto"/>
        <w:ind w:right="69" w:left="15"/>
        <w:jc w:val="both"/>
        <w:rPr>
          <w:rFonts w:ascii="Arial" w:hAnsi="Arial" w:cs="Arial"/>
          <w:sz w:val="24"/>
          <w:szCs w:val="24"/>
        </w:rPr>
      </w:pPr>
    </w:p>
    <w:p>
      <w:pPr>
        <w:spacing w:after="0" w:line="240" w:lineRule="auto"/>
        <w:ind w:right="69" w:left="15"/>
        <w:jc w:val="both"/>
        <w:rPr>
          <w:rFonts w:ascii="Arial" w:hAnsi="Arial" w:cs="Arial"/>
          <w:sz w:val="24"/>
          <w:szCs w:val="24"/>
        </w:rPr>
      </w:pPr>
      <w:r>
        <w:rPr>
          <w:rFonts w:ascii="Arial" w:hAnsi="Arial" w:cs="Arial"/>
          <w:sz w:val="24"/>
          <w:szCs w:val="24"/>
        </w:rPr>
        <w:t xml:space="preserve">a) 4 capítulos </w:t>
      </w:r>
    </w:p>
    <w:p>
      <w:pPr>
        <w:spacing w:after="0" w:line="240" w:lineRule="auto"/>
        <w:ind w:right="69" w:left="15"/>
        <w:jc w:val="both"/>
        <w:rPr>
          <w:rFonts w:ascii="Arial" w:hAnsi="Arial" w:cs="Arial"/>
          <w:sz w:val="24"/>
          <w:szCs w:val="24"/>
        </w:rPr>
      </w:pPr>
      <w:r>
        <w:rPr>
          <w:rFonts w:ascii="Arial" w:hAnsi="Arial" w:cs="Arial"/>
          <w:sz w:val="24"/>
          <w:szCs w:val="24"/>
        </w:rPr>
        <w:t xml:space="preserve">b) 5 capítulos </w:t>
      </w:r>
    </w:p>
    <w:p>
      <w:pPr>
        <w:spacing w:after="0" w:line="240" w:lineRule="auto"/>
        <w:ind w:right="69" w:left="15"/>
        <w:jc w:val="both"/>
        <w:rPr>
          <w:rFonts w:ascii="Arial" w:hAnsi="Arial" w:cs="Arial"/>
          <w:sz w:val="24"/>
          <w:szCs w:val="24"/>
        </w:rPr>
      </w:pPr>
      <w:r>
        <w:rPr>
          <w:rFonts w:ascii="Arial" w:hAnsi="Arial" w:cs="Arial"/>
          <w:sz w:val="24"/>
          <w:szCs w:val="24"/>
        </w:rPr>
        <w:t xml:space="preserve">c) 6 capítulos </w:t>
      </w:r>
    </w:p>
    <w:p>
      <w:pPr>
        <w:spacing w:after="0" w:line="240" w:lineRule="auto"/>
        <w:ind w:right="69" w:left="15"/>
        <w:jc w:val="both"/>
        <w:rPr>
          <w:rFonts w:ascii="Arial" w:hAnsi="Arial" w:cs="Arial"/>
          <w:sz w:val="24"/>
          <w:szCs w:val="24"/>
        </w:rPr>
      </w:pPr>
      <w:r>
        <w:rPr>
          <w:rFonts w:ascii="Arial" w:hAnsi="Arial" w:cs="Arial"/>
          <w:sz w:val="24"/>
          <w:szCs w:val="24"/>
        </w:rPr>
        <w:t xml:space="preserve">d) 7 capítulos.</w:t>
      </w:r>
    </w:p>
    <w:p>
      <w:pPr>
        <w:spacing w:after="0" w:line="240" w:lineRule="auto"/>
        <w:ind w:right="69" w:left="15"/>
        <w:jc w:val="both"/>
        <w:rPr>
          <w:rFonts w:ascii="Arial" w:hAnsi="Arial" w:cs="Arial"/>
          <w:sz w:val="24"/>
          <w:szCs w:val="24"/>
        </w:rPr>
      </w:pPr>
    </w:p>
    <w:p>
      <w:pPr>
        <w:pStyle w:val="Prrafodelista"/>
        <w:numPr>
          <w:ilvl w:val="0"/>
          <w:numId w:val="13"/>
        </w:numPr>
        <w:spacing w:after="0" w:line="240" w:lineRule="auto"/>
        <w:ind w:right="69"/>
        <w:contextualSpacing w:val="false"/>
        <w:jc w:val="both"/>
        <w:rPr>
          <w:rFonts w:ascii="Arial" w:hAnsi="Arial" w:cs="Arial"/>
          <w:sz w:val="24"/>
          <w:szCs w:val="24"/>
        </w:rPr>
      </w:pPr>
      <w:r>
        <w:rPr>
          <w:rFonts w:ascii="Arial" w:hAnsi="Arial" w:cs="Arial"/>
          <w:sz w:val="24"/>
          <w:szCs w:val="24"/>
        </w:rPr>
        <w:t xml:space="preserve">El Título preliminar de la Ley 40/2015, de 1 de octubre, de Régimen Jurídico del Sector Público comprende los artículos: </w:t>
      </w:r>
    </w:p>
    <w:p>
      <w:pPr>
        <w:spacing w:after="0" w:line="240" w:lineRule="auto"/>
        <w:ind w:right="69" w:left="15"/>
        <w:jc w:val="both"/>
        <w:rPr>
          <w:rFonts w:ascii="Arial" w:hAnsi="Arial" w:cs="Arial"/>
          <w:sz w:val="24"/>
          <w:szCs w:val="24"/>
        </w:rPr>
      </w:pPr>
    </w:p>
    <w:p>
      <w:pPr>
        <w:spacing w:after="0" w:line="240" w:lineRule="auto"/>
        <w:ind w:right="69" w:left="15"/>
        <w:jc w:val="both"/>
        <w:rPr>
          <w:rFonts w:ascii="Arial" w:hAnsi="Arial" w:cs="Arial"/>
          <w:sz w:val="24"/>
          <w:szCs w:val="24"/>
        </w:rPr>
      </w:pPr>
      <w:r>
        <w:rPr>
          <w:rFonts w:ascii="Arial" w:hAnsi="Arial" w:cs="Arial"/>
          <w:sz w:val="24"/>
          <w:szCs w:val="24"/>
        </w:rPr>
        <w:t xml:space="preserve">a) 1 a 53 </w:t>
      </w:r>
    </w:p>
    <w:p>
      <w:pPr>
        <w:spacing w:after="0" w:line="240" w:lineRule="auto"/>
        <w:ind w:right="69" w:left="15"/>
        <w:jc w:val="both"/>
        <w:rPr>
          <w:rFonts w:ascii="Arial" w:hAnsi="Arial" w:cs="Arial"/>
          <w:sz w:val="24"/>
          <w:szCs w:val="24"/>
        </w:rPr>
      </w:pPr>
      <w:r>
        <w:rPr>
          <w:rFonts w:ascii="Arial" w:hAnsi="Arial" w:cs="Arial"/>
          <w:sz w:val="24"/>
          <w:szCs w:val="24"/>
        </w:rPr>
        <w:t xml:space="preserve">b) 9 a 46 </w:t>
      </w:r>
    </w:p>
    <w:p>
      <w:pPr>
        <w:spacing w:after="0" w:line="240" w:lineRule="auto"/>
        <w:ind w:right="69" w:left="15"/>
        <w:jc w:val="both"/>
        <w:rPr>
          <w:rFonts w:ascii="Arial" w:hAnsi="Arial" w:cs="Arial"/>
          <w:sz w:val="24"/>
          <w:szCs w:val="24"/>
        </w:rPr>
      </w:pPr>
      <w:r>
        <w:rPr>
          <w:rFonts w:ascii="Arial" w:hAnsi="Arial" w:cs="Arial"/>
          <w:sz w:val="24"/>
          <w:szCs w:val="24"/>
        </w:rPr>
        <w:t xml:space="preserve">c) 1 a 35 </w:t>
      </w:r>
    </w:p>
    <w:p>
      <w:pPr>
        <w:spacing w:after="0" w:line="240" w:lineRule="auto"/>
        <w:ind w:right="69" w:left="15"/>
        <w:jc w:val="both"/>
        <w:rPr>
          <w:rFonts w:ascii="Arial" w:hAnsi="Arial" w:cs="Arial"/>
          <w:sz w:val="24"/>
          <w:szCs w:val="24"/>
        </w:rPr>
      </w:pPr>
      <w:r>
        <w:rPr>
          <w:rFonts w:ascii="Arial" w:hAnsi="Arial" w:cs="Arial"/>
          <w:sz w:val="24"/>
          <w:szCs w:val="24"/>
        </w:rPr>
        <w:t xml:space="preserve">d) 8 a </w:t>
      </w:r>
      <w:r>
        <w:rPr>
          <w:rFonts w:ascii="Arial" w:hAnsi="Arial" w:cs="Arial"/>
          <w:sz w:val="24"/>
          <w:szCs w:val="24"/>
        </w:rPr>
        <w:t xml:space="preserve">49 .</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p>
    <w:p>
      <w:pPr>
        <w:rPr>
          <w:rFonts w:ascii="Arial" w:hAnsi="Arial" w:cs="Arial"/>
          <w:sz w:val="24"/>
          <w:szCs w:val="24"/>
        </w:rPr>
      </w:pPr>
      <w:r>
        <w:rPr>
          <w:rFonts w:ascii="Arial" w:hAnsi="Arial" w:cs="Arial"/>
          <w:sz w:val="24"/>
          <w:szCs w:val="24"/>
        </w:rPr>
        <w:br w:type="page" w:clear="all"/>
      </w:r>
    </w:p>
    <w:tbl>
      <w:tblPr>
        <w:tblStyle w:val="Tablaconcuadrcula"/>
        <w:tblW w:w="0" w:type="auto"/>
        <w:tblLook w:val="04A0" w:firstRow="1" w:lastRow="0" w:firstColumn="1" w:lastColumn="0" w:noHBand="0" w:noVBand="1"/>
      </w:tblPr>
      <w:tblGrid>
        <w:gridCol w:w="1129"/>
        <w:gridCol w:w="993"/>
      </w:tblGrid>
      <w:tr>
        <w:tc>
          <w:tcPr>
            <w:tcW w:w="1129" w:type="dxa"/>
          </w:tcPr>
          <w:p>
            <w:pPr>
              <w:numPr>
                <w:ilvl w:val="0"/>
                <w:numId w:val="1"/>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D</w:t>
            </w:r>
          </w:p>
        </w:tc>
      </w:tr>
      <w:tr>
        <w:tc>
          <w:tcPr>
            <w:tcW w:w="1129" w:type="dxa"/>
          </w:tcPr>
          <w:p>
            <w:pPr>
              <w:numPr>
                <w:ilvl w:val="0"/>
                <w:numId w:val="1"/>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A</w:t>
            </w:r>
          </w:p>
        </w:tc>
      </w:tr>
      <w:tr>
        <w:tc>
          <w:tcPr>
            <w:tcW w:w="1129" w:type="dxa"/>
          </w:tcPr>
          <w:p>
            <w:pPr>
              <w:numPr>
                <w:ilvl w:val="0"/>
                <w:numId w:val="1"/>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A</w:t>
            </w:r>
          </w:p>
        </w:tc>
      </w:tr>
      <w:tr>
        <w:tc>
          <w:tcPr>
            <w:tcW w:w="1129" w:type="dxa"/>
          </w:tcPr>
          <w:p>
            <w:pPr>
              <w:numPr>
                <w:ilvl w:val="0"/>
                <w:numId w:val="1"/>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C</w:t>
            </w:r>
          </w:p>
        </w:tc>
      </w:tr>
      <w:tr>
        <w:tc>
          <w:tcPr>
            <w:tcW w:w="1129" w:type="dxa"/>
          </w:tcPr>
          <w:p>
            <w:pPr>
              <w:numPr>
                <w:ilvl w:val="0"/>
                <w:numId w:val="1"/>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B</w:t>
            </w:r>
          </w:p>
        </w:tc>
      </w:tr>
      <w:tr>
        <w:tc>
          <w:tcPr>
            <w:tcW w:w="1129" w:type="dxa"/>
          </w:tcPr>
          <w:p>
            <w:pPr>
              <w:numPr>
                <w:ilvl w:val="0"/>
                <w:numId w:val="1"/>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A</w:t>
            </w:r>
          </w:p>
        </w:tc>
      </w:tr>
      <w:tr>
        <w:tc>
          <w:tcPr>
            <w:tcW w:w="1129" w:type="dxa"/>
          </w:tcPr>
          <w:p>
            <w:pPr>
              <w:numPr>
                <w:ilvl w:val="0"/>
                <w:numId w:val="1"/>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B</w:t>
            </w:r>
          </w:p>
        </w:tc>
      </w:tr>
      <w:tr>
        <w:tc>
          <w:tcPr>
            <w:tcW w:w="1129" w:type="dxa"/>
          </w:tcPr>
          <w:p>
            <w:pPr>
              <w:numPr>
                <w:ilvl w:val="0"/>
                <w:numId w:val="1"/>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C</w:t>
            </w:r>
          </w:p>
        </w:tc>
      </w:tr>
      <w:tr>
        <w:tc>
          <w:tcPr>
            <w:tcW w:w="1129" w:type="dxa"/>
          </w:tcPr>
          <w:p>
            <w:pPr>
              <w:numPr>
                <w:ilvl w:val="0"/>
                <w:numId w:val="1"/>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 w:val="24"/>
                <w:szCs w:val="24"/>
              </w:rPr>
              <w:t xml:space="preserve">D</w:t>
            </w:r>
          </w:p>
        </w:tc>
      </w:tr>
      <w:tr>
        <w:tc>
          <w:tcPr>
            <w:tcW w:w="1129" w:type="dxa"/>
          </w:tcPr>
          <w:p>
            <w:pPr>
              <w:numPr>
                <w:ilvl w:val="0"/>
                <w:numId w:val="1"/>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Cs w:val="24"/>
              </w:rPr>
              <w:t xml:space="preserve">D</w:t>
            </w:r>
          </w:p>
        </w:tc>
      </w:tr>
      <w:tr>
        <w:tc>
          <w:tcPr>
            <w:tcW w:w="1129" w:type="dxa"/>
          </w:tcPr>
          <w:p>
            <w:pPr>
              <w:numPr>
                <w:ilvl w:val="0"/>
                <w:numId w:val="1"/>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Cs w:val="24"/>
              </w:rPr>
              <w:t xml:space="preserve">C</w:t>
            </w:r>
          </w:p>
        </w:tc>
      </w:tr>
      <w:tr>
        <w:tc>
          <w:tcPr>
            <w:tcW w:w="1129" w:type="dxa"/>
          </w:tcPr>
          <w:p>
            <w:pPr>
              <w:numPr>
                <w:ilvl w:val="0"/>
                <w:numId w:val="1"/>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Cs w:val="24"/>
              </w:rPr>
              <w:t xml:space="preserve">C</w:t>
            </w:r>
          </w:p>
        </w:tc>
      </w:tr>
      <w:tr>
        <w:tc>
          <w:tcPr>
            <w:tcW w:w="1129" w:type="dxa"/>
          </w:tcPr>
          <w:p>
            <w:pPr>
              <w:numPr>
                <w:ilvl w:val="0"/>
                <w:numId w:val="1"/>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Cs w:val="24"/>
              </w:rPr>
              <w:t xml:space="preserve">A</w:t>
            </w:r>
          </w:p>
        </w:tc>
      </w:tr>
      <w:tr>
        <w:tc>
          <w:tcPr>
            <w:tcW w:w="1129" w:type="dxa"/>
          </w:tcPr>
          <w:p>
            <w:pPr>
              <w:numPr>
                <w:ilvl w:val="0"/>
                <w:numId w:val="1"/>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Cs w:val="24"/>
              </w:rPr>
              <w:t xml:space="preserve">B</w:t>
            </w:r>
          </w:p>
        </w:tc>
      </w:tr>
      <w:tr>
        <w:tc>
          <w:tcPr>
            <w:tcW w:w="1129" w:type="dxa"/>
          </w:tcPr>
          <w:p>
            <w:pPr>
              <w:numPr>
                <w:ilvl w:val="0"/>
                <w:numId w:val="1"/>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Cs w:val="24"/>
              </w:rPr>
              <w:t xml:space="preserve">A</w:t>
            </w:r>
          </w:p>
        </w:tc>
      </w:tr>
      <w:tr>
        <w:tc>
          <w:tcPr>
            <w:tcW w:w="1129" w:type="dxa"/>
          </w:tcPr>
          <w:p>
            <w:pPr>
              <w:numPr>
                <w:ilvl w:val="0"/>
                <w:numId w:val="1"/>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Cs w:val="24"/>
              </w:rPr>
              <w:t xml:space="preserve">D</w:t>
            </w:r>
          </w:p>
        </w:tc>
      </w:tr>
      <w:tr>
        <w:tc>
          <w:tcPr>
            <w:tcW w:w="1129" w:type="dxa"/>
          </w:tcPr>
          <w:p>
            <w:pPr>
              <w:numPr>
                <w:ilvl w:val="0"/>
                <w:numId w:val="1"/>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Cs w:val="24"/>
              </w:rPr>
              <w:t xml:space="preserve">C</w:t>
            </w:r>
          </w:p>
        </w:tc>
      </w:tr>
      <w:tr>
        <w:tc>
          <w:tcPr>
            <w:tcW w:w="1129" w:type="dxa"/>
          </w:tcPr>
          <w:p>
            <w:pPr>
              <w:numPr>
                <w:ilvl w:val="0"/>
                <w:numId w:val="1"/>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Cs w:val="24"/>
              </w:rPr>
              <w:t xml:space="preserve">D</w:t>
            </w:r>
          </w:p>
        </w:tc>
      </w:tr>
      <w:tr>
        <w:tc>
          <w:tcPr>
            <w:tcW w:w="1129" w:type="dxa"/>
          </w:tcPr>
          <w:p>
            <w:pPr>
              <w:numPr>
                <w:ilvl w:val="0"/>
                <w:numId w:val="1"/>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Cs w:val="24"/>
              </w:rPr>
              <w:t xml:space="preserve">A</w:t>
            </w:r>
          </w:p>
        </w:tc>
      </w:tr>
      <w:tr>
        <w:tc>
          <w:tcPr>
            <w:tcW w:w="1129" w:type="dxa"/>
          </w:tcPr>
          <w:p>
            <w:pPr>
              <w:numPr>
                <w:ilvl w:val="0"/>
                <w:numId w:val="1"/>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Cs w:val="24"/>
              </w:rPr>
              <w:t xml:space="preserve">C</w:t>
            </w:r>
          </w:p>
        </w:tc>
      </w:tr>
      <w:tr>
        <w:tc>
          <w:tcPr>
            <w:tcW w:w="1129" w:type="dxa"/>
          </w:tcPr>
          <w:p>
            <w:pPr>
              <w:numPr>
                <w:ilvl w:val="0"/>
                <w:numId w:val="1"/>
              </w:numPr>
              <w:contextualSpacing w:val="true"/>
              <w:jc w:val="both"/>
              <w:rPr>
                <w:rFonts w:ascii="Arial" w:hAnsi="Arial" w:eastAsia="Calibri" w:cs="Arial"/>
                <w:sz w:val="24"/>
                <w:szCs w:val="24"/>
              </w:rPr>
            </w:pPr>
          </w:p>
        </w:tc>
        <w:tc>
          <w:tcPr>
            <w:tcW w:w="993" w:type="dxa"/>
          </w:tcPr>
          <w:p>
            <w:pPr>
              <w:jc w:val="both"/>
              <w:rPr>
                <w:rFonts w:ascii="Arial" w:hAnsi="Arial" w:eastAsia="Calibri" w:cs="Arial"/>
                <w:sz w:val="24"/>
                <w:szCs w:val="24"/>
              </w:rPr>
            </w:pPr>
            <w:r>
              <w:rPr>
                <w:rFonts w:ascii="Arial" w:hAnsi="Arial" w:eastAsia="Calibri" w:cs="Arial"/>
                <w:szCs w:val="24"/>
              </w:rPr>
              <w:t xml:space="preserve">A</w:t>
            </w:r>
          </w:p>
        </w:tc>
      </w:tr>
    </w:tbl>
    <w:p>
      <w:pPr>
        <w:spacing w:after="0" w:line="240" w:lineRule="auto"/>
        <w:jc w:val="both"/>
        <w:rPr>
          <w:rFonts w:ascii="Arial" w:hAnsi="Arial" w:cs="Arial"/>
          <w:sz w:val="24"/>
          <w:szCs w:val="24"/>
        </w:rPr>
      </w:pPr>
    </w:p>
    <w:sectPr>
      <w:pgSz w:h="16838" w:w="11906"/>
      <w:pgMar w:top="1417" w:right="1701" w:bottom="1417" w:left="1701"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Symbol">
    <w:panose1 w:val="020B0502040204020203"/>
  </w:font>
  <w:font w:name="Calibri">
    <w:panose1 w:val="020F0502020204030204"/>
  </w:font>
  <w:font w:name="Arial">
    <w:panose1 w:val="020B0604020202020204"/>
  </w:font>
  <w:font w:name="Times New Roman">
    <w:panose1 w:val="02020603050405020304"/>
  </w:font>
  <w:font w:name="Cambria">
    <w:panose1 w:val="0204050305040603020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
    <w:multiLevelType w:val="hybridMultilevel"/>
    <w:lvl w:ilvl="0" w:tplc="DCF084D6">
      <w:lvlJc w:val="left"/>
      <w:lvlText w:val="%1."/>
      <w:numFmt w:val="decimal"/>
      <w:pPr>
        <w:ind w:hanging="360" w:left="735"/>
      </w:pPr>
      <w:rPr>
        <w:rFonts w:hint="default"/>
      </w:rPr>
      <w:start w:val="38"/>
    </w:lvl>
    <w:lvl w:ilvl="1" w:tentative="true" w:tplc="0C0A0019">
      <w:lvlJc w:val="left"/>
      <w:lvlText w:val="%2."/>
      <w:numFmt w:val="lowerLetter"/>
      <w:pPr>
        <w:ind w:hanging="360" w:left="1455"/>
      </w:pPr>
      <w:start w:val="1"/>
    </w:lvl>
    <w:lvl w:ilvl="2" w:tentative="true" w:tplc="0C0A001B">
      <w:lvlJc w:val="right"/>
      <w:lvlText w:val="%3."/>
      <w:numFmt w:val="lowerRoman"/>
      <w:pPr>
        <w:ind w:hanging="180" w:left="2175"/>
      </w:pPr>
      <w:start w:val="1"/>
    </w:lvl>
    <w:lvl w:ilvl="3" w:tentative="true" w:tplc="0C0A000F">
      <w:lvlJc w:val="left"/>
      <w:lvlText w:val="%4."/>
      <w:numFmt w:val="decimal"/>
      <w:pPr>
        <w:ind w:hanging="360" w:left="2895"/>
      </w:pPr>
      <w:start w:val="1"/>
    </w:lvl>
    <w:lvl w:ilvl="4" w:tentative="true" w:tplc="0C0A0019">
      <w:lvlJc w:val="left"/>
      <w:lvlText w:val="%5."/>
      <w:numFmt w:val="lowerLetter"/>
      <w:pPr>
        <w:ind w:hanging="360" w:left="3615"/>
      </w:pPr>
      <w:start w:val="1"/>
    </w:lvl>
    <w:lvl w:ilvl="5" w:tentative="true" w:tplc="0C0A001B">
      <w:lvlJc w:val="right"/>
      <w:lvlText w:val="%6."/>
      <w:numFmt w:val="lowerRoman"/>
      <w:pPr>
        <w:ind w:hanging="180" w:left="4335"/>
      </w:pPr>
      <w:start w:val="1"/>
    </w:lvl>
    <w:lvl w:ilvl="6" w:tentative="true" w:tplc="0C0A000F">
      <w:lvlJc w:val="left"/>
      <w:lvlText w:val="%7."/>
      <w:numFmt w:val="decimal"/>
      <w:pPr>
        <w:ind w:hanging="360" w:left="5055"/>
      </w:pPr>
      <w:start w:val="1"/>
    </w:lvl>
    <w:lvl w:ilvl="7" w:tentative="true" w:tplc="0C0A0019">
      <w:lvlJc w:val="left"/>
      <w:lvlText w:val="%8."/>
      <w:numFmt w:val="lowerLetter"/>
      <w:pPr>
        <w:ind w:hanging="360" w:left="5775"/>
      </w:pPr>
      <w:start w:val="1"/>
    </w:lvl>
    <w:lvl w:ilvl="8" w:tentative="true" w:tplc="0C0A001B">
      <w:lvlJc w:val="right"/>
      <w:lvlText w:val="%9."/>
      <w:numFmt w:val="lowerRoman"/>
      <w:pPr>
        <w:ind w:hanging="180" w:left="6495"/>
      </w:pPr>
      <w:start w:val="1"/>
    </w:lvl>
  </w:abstractNum>
  <w:abstractNum w:abstractNumId="2">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3">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4">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5">
    <w:multiLevelType w:val="hybridMultilevel"/>
    <w:lvl w:ilvl="0" w:tplc="4A58A6C8">
      <w:lvlJc w:val="left"/>
      <w:lvlText w:val="%1."/>
      <w:numFmt w:val="decimal"/>
      <w:pPr>
        <w:ind w:hanging="360" w:left="720"/>
      </w:pPr>
      <w:rPr>
        <w:rFonts w:hint="default"/>
      </w:r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6">
    <w:multiLevelType w:val="hybridMultilevel"/>
    <w:lvl w:ilvl="0" w:tplc="0C0A000F">
      <w:lvlJc w:val="left"/>
      <w:lvlText w:val="%1."/>
      <w:numFmt w:val="decimal"/>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7">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8">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9">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0">
    <w:multiLevelType w:val="hybridMultilevel"/>
    <w:lvl w:ilvl="0" w:tplc="A5A422E0">
      <w:lvlJc w:val="left"/>
      <w:lvlText w:val="%1."/>
      <w:numFmt w:val="decimal"/>
      <w:pPr>
        <w:ind w:hanging="360" w:left="720"/>
      </w:pPr>
      <w:rPr>
        <w:rFonts w:hint="default"/>
      </w:rPr>
      <w:start w:val="10"/>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1">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2">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num w:numId="1">
    <w:abstractNumId w:val="6"/>
  </w:num>
  <w:num w:numId="2">
    <w:abstractNumId w:val="5"/>
  </w:num>
  <w:num w:numId="3">
    <w:abstractNumId w:val="2"/>
  </w:num>
  <w:num w:numId="4">
    <w:abstractNumId w:val="11"/>
  </w:num>
  <w:num w:numId="5">
    <w:abstractNumId w:val="4"/>
  </w:num>
  <w:num w:numId="6">
    <w:abstractNumId w:val="3"/>
  </w:num>
  <w:num w:numId="7">
    <w:abstractNumId w:val="7"/>
  </w:num>
  <w:num w:numId="8">
    <w:abstractNumId w:val="0"/>
  </w:num>
  <w:num w:numId="9">
    <w:abstractNumId w:val="12"/>
  </w:num>
  <w:num w:numId="10">
    <w:abstractNumId w:val="9"/>
  </w:num>
  <w:num w:numId="11">
    <w:abstractNumId w:val="8"/>
  </w:num>
  <w:num w:numId="12">
    <w:abstractNumId w:val="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paragraph" w:styleId="Ttulo1">
    <w:name w:val="heading 1"/>
    <w:basedOn w:val="Normal"/>
    <w:next w:val="Normal"/>
    <w:link w:val="Ttulo1Car"/>
    <w:uiPriority w:val="9"/>
    <w:qFormat/>
    <w:pPr>
      <w:keepNext w:val="true"/>
      <w:keepLines w:val="true"/>
      <w:spacing w:after="80" w:before="36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val="true"/>
      <w:keepLines w:val="true"/>
      <w:spacing w:after="80" w:before="16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val="true"/>
      <w:keepLines w:val="true"/>
      <w:spacing w:after="80" w:before="16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val="true"/>
      <w:keepLines w:val="true"/>
      <w:spacing w:after="40" w:before="8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val="true"/>
      <w:keepLines w:val="true"/>
      <w:spacing w:after="40" w:before="8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val="true"/>
      <w:keepLines w:val="true"/>
      <w:spacing w:after="0"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val="true"/>
      <w:keepLines w:val="true"/>
      <w:spacing w:after="0"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val="true"/>
      <w:keepLines w:val="true"/>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pPr>
      <w:keepNext w:val="true"/>
      <w:keepLines w:val="true"/>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left w:w="108" w:type="dxa"/>
        <w:top w:w="0" w:type="dxa"/>
        <w:right w:w="108" w:type="dxa"/>
        <w:bottom w:w="0"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Pr>
      <w:rFonts w:eastAsiaTheme="majorEastAsia" w:cstheme="majorBidi"/>
      <w:color w:val="272727" w:themeColor="text1" w:themeTint="D8"/>
    </w:rPr>
  </w:style>
  <w:style w:type="paragraph" w:styleId="Ttulo">
    <w:name w:val="Title"/>
    <w:basedOn w:val="Normal"/>
    <w:next w:val="Normal"/>
    <w:link w:val="TtuloCar"/>
    <w:uiPriority w:val="10"/>
    <w:qFormat/>
    <w:pPr>
      <w:spacing w:after="80" w:line="240" w:lineRule="auto"/>
      <w:contextualSpacing w:val="true"/>
    </w:pPr>
    <w:rPr>
      <w:rFonts w:asciiTheme="majorHAnsi" w:hAnsiTheme="majorHAnsi" w:eastAsiaTheme="majorEastAsia" w:cstheme="majorBidi"/>
      <w:spacing w:val="-10"/>
      <w:sz w:val="56"/>
      <w:szCs w:val="56"/>
    </w:rPr>
  </w:style>
  <w:style w:type="character" w:styleId="TtuloCar" w:customStyle="1">
    <w:name w:val="Título Car"/>
    <w:basedOn w:val="Fuentedeprrafopredeter"/>
    <w:link w:val="Ttulo"/>
    <w:uiPriority w:val="10"/>
    <w:rPr>
      <w:rFonts w:asciiTheme="majorHAnsi" w:hAnsiTheme="majorHAnsi" w:eastAsiaTheme="majorEastAsia" w:cstheme="majorBidi"/>
      <w:spacing w:val="-10"/>
      <w:sz w:val="56"/>
      <w:szCs w:val="56"/>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styleId="CitaCar" w:customStyle="1">
    <w:name w:val="Cita Car"/>
    <w:basedOn w:val="Fuentedeprrafopredeter"/>
    <w:link w:val="Cita"/>
    <w:uiPriority w:val="29"/>
    <w:rPr>
      <w:i/>
      <w:iCs/>
      <w:color w:val="404040" w:themeColor="text1" w:themeTint="BF"/>
    </w:rPr>
  </w:style>
  <w:style w:type="paragraph" w:styleId="Prrafodelista">
    <w:name w:val="List Paragraph"/>
    <w:basedOn w:val="Normal"/>
    <w:uiPriority w:val="34"/>
    <w:qFormat/>
    <w:pPr>
      <w:ind w:left="720"/>
      <w:contextualSpacing w:val="true"/>
    </w:pPr>
  </w:style>
  <w:style w:type="character" w:styleId="nfasisintenso">
    <w:name w:val="Intense Emphasis"/>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CitadestacadaCar" w:customStyle="1">
    <w:name w:val="Cita destacada Car"/>
    <w:basedOn w:val="Fuentedeprrafopredeter"/>
    <w:link w:val="Citadestacada"/>
    <w:uiPriority w:val="30"/>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table" w:styleId="Tablaconcuadrcula">
    <w:name w:val="Table Grid"/>
    <w:basedOn w:val="Tablanormal"/>
    <w:uiPriority w:val="39"/>
    <w:pPr>
      <w:spacing w:after="0" w:line="240" w:lineRule="auto"/>
    </w:pPr>
    <w:rPr>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Arial"/>
        <a:cs typeface="Arial"/>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Arial"/>
        <a:cs typeface="Arial"/>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ONLYOFFICE/7.5.0.127</Application>
  <Characters>10533</Characters>
  <CharactersWithSpaces>12423</CharactersWithSpaces>
  <Company/>
  <DocSecurity>0</DocSecurity>
  <HyperlinksChanged>false</HyperlinksChanged>
  <Lines>87</Lines>
  <LinksUpToDate>false</LinksUpToDate>
  <Pages>7</Pages>
  <Paragraphs>24</Paragraphs>
  <ScaleCrop>false</ScaleCrop>
  <SharedDoc>false</SharedDoc>
  <Template>Normal.dotm</Template>
  <TotalTime>2</TotalTime>
  <Words>1914</Word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del Rosario Díaz Calderón</dc:creator>
  <cp:keywords/>
  <dc:description/>
  <cp:lastModifiedBy>María del Rosario Díaz Calderón</cp:lastModifiedBy>
  <cp:revision>1</cp:revision>
  <dcterms:created xsi:type="dcterms:W3CDTF">2024-09-30T16:57:00Z</dcterms:created>
  <dcterms:modified xsi:type="dcterms:W3CDTF">2024-09-30T17:00:00Z</dcterms:modified>
</cp:coreProperties>
</file>