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</w:t>
      </w:r>
      <w:r>
        <w:rPr>
          <w:rFonts w:ascii="Arial" w:hAnsi="Arial" w:cs="Arial"/>
          <w:sz w:val="24"/>
          <w:szCs w:val="24"/>
        </w:rPr>
        <w:tab/>
        <w:t xml:space="preserve">Los acuerdos del Patronato se adoptarán: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salvo previsión expresa en contrario, por mayoría simple de votos de los patronos asistentes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salvo previsión expresa en contrario, por mayoría absoluta de votos de los patronos asistentes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salvo previsión expresa en contrario, por mayoría de 3/4 de votos de los patronos asistentes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salvo previsión expresa en contrario, por mayoría simple de votos de los patronos en número legal.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</w:t>
      </w:r>
      <w:r>
        <w:rPr>
          <w:rFonts w:ascii="Arial" w:hAnsi="Arial" w:cs="Arial"/>
          <w:sz w:val="24"/>
          <w:szCs w:val="24"/>
        </w:rPr>
        <w:tab/>
        <w:t xml:space="preserve">Requerirá del voto favorable de la mitad más uno del número de miembros que integran el Patronato los siguientes acuerdos, indique la respuesta INCORRECTA: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Acuerdos de disposición o gravamen de bienes inmuebles, establecimientos mercantiles o industriales, bienes de interés cultural y aquellos cuyo importe sea superior al 20% del activo de la fundación que resulte del último balance aprobado.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Modificación de los estatutos.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Fusión y extinción de la Fundación.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Todas son incorrectas.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</w:t>
      </w:r>
      <w:r>
        <w:rPr>
          <w:rFonts w:ascii="Arial" w:hAnsi="Arial" w:cs="Arial"/>
          <w:sz w:val="24"/>
          <w:szCs w:val="24"/>
        </w:rPr>
        <w:tab/>
        <w:t xml:space="preserve">Quien realiza el acta de las reuniones del Patronato y quien la firma: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El Secretario/a en ambos casos.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El Presidente/a en ambos casos.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El Secretario/a levanta acta y la suscribe con el visto bueno del Presidente/a.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El Presidente/a levanta acta y la suscribe con el visto bueno del Secretario/a.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</w:t>
      </w:r>
      <w:r>
        <w:rPr>
          <w:rFonts w:ascii="Arial" w:hAnsi="Arial" w:cs="Arial"/>
          <w:sz w:val="24"/>
          <w:szCs w:val="24"/>
        </w:rPr>
        <w:tab/>
        <w:t xml:space="preserve">Por quien esta asesorada la Comisión Ejecutiva: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miembros del Comité Musical y de Gestión de la Fundación.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miembros del Comité Musical y Artístico de la Fundación.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miembros del Comité Musical y Artístico y de Gestión de la Fundación.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miembros del Comité Artístico y de Gestión de la Fundación.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 w:clear="all"/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</w:t>
      </w:r>
      <w:r>
        <w:rPr>
          <w:rFonts w:ascii="Arial" w:hAnsi="Arial" w:cs="Arial"/>
          <w:sz w:val="24"/>
          <w:szCs w:val="24"/>
        </w:rPr>
        <w:tab/>
        <w:t xml:space="preserve">La Comisión Ejecutiva es: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el órgano colegiado de gestión de la Fundación que, por delegación estatuaria, tiene conferidas todas aquellas facultades que ni el ordenamiento jurídico ni estos Estatutos atribuyen al Patronato.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el órgano de gestión de la Fundación que, por delegación estatuaria, tiene conferidas todas aquellas facultades que ni el ordenamiento jurídico ni estos Estatutos atribuyen al Patronato.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el órgano colegiado de gestión de la Fundación que tiene conferidas todas aquellas facultades que ni el ordenamiento jurídico ni estos Estatutos atribuyen al Patronato.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el órgano colegiado de gestión de la Fundación que, por delegación estatuaria, tiene conferidas todas aquellas facultades que el ordenamiento jurídico atribuyen al Patronato.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</w:t>
      </w:r>
      <w:r>
        <w:rPr>
          <w:rFonts w:ascii="Arial" w:hAnsi="Arial" w:cs="Arial"/>
          <w:sz w:val="24"/>
          <w:szCs w:val="24"/>
        </w:rPr>
        <w:tab/>
        <w:t xml:space="preserve">Quien forma parte de la Comisión Ejecutiva: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los patronos elegibles y cinco patronos por el Patronato.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los patronos permanentes y cuatro patronos elegidos por el Patronato.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los patronos permanentes y cinco patronos elegidos por el Patronato.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los patronos permanentes y tres patronos elegidos por el Patronato.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</w:t>
      </w:r>
      <w:r>
        <w:rPr>
          <w:rFonts w:ascii="Arial" w:hAnsi="Arial" w:cs="Arial"/>
          <w:sz w:val="24"/>
          <w:szCs w:val="24"/>
        </w:rPr>
        <w:tab/>
        <w:t xml:space="preserve">Los miembros de la Comisión Ejecutiva serán propuestos: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tres por el Presidente/a, de los cuales uno lo será entre personas de reconocido prestigio social y cultural.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uno entre los patronos que ostenten la condición de Diputado/a Provincial y uno que no ostente dicha condición.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dos serán elegidos por el Patronato de entre los patronos restantes.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Todas son correctas.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8.</w:t>
      </w:r>
      <w:r>
        <w:rPr>
          <w:rFonts w:ascii="Arial" w:hAnsi="Arial" w:cs="Arial"/>
          <w:sz w:val="24"/>
          <w:szCs w:val="24"/>
        </w:rPr>
        <w:tab/>
        <w:t xml:space="preserve">La Comisión Ejecutiva se reunirá: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Al menos una vez al mes.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Al menos una vez cada trimestre.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Al menos una vez cada dos meses.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Al menos una vez al año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9.</w:t>
      </w:r>
      <w:r>
        <w:rPr>
          <w:rFonts w:ascii="Arial" w:hAnsi="Arial" w:cs="Arial"/>
          <w:sz w:val="24"/>
          <w:szCs w:val="24"/>
        </w:rPr>
        <w:tab/>
        <w:t xml:space="preserve">El régimen de convocatorias y forma de deliberar y adoptar acuerdos por la Comisión Ejecutiva será el mismo que: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El del Patronato.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El del Pleno de la Diputación de Alicante.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El de la propia Comisión Ejecutiva.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Ninguna es correcta.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 w:clear="all"/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</w:t>
      </w:r>
      <w:r>
        <w:rPr>
          <w:rFonts w:ascii="Arial" w:hAnsi="Arial" w:cs="Arial"/>
          <w:sz w:val="24"/>
          <w:szCs w:val="24"/>
        </w:rPr>
        <w:t xml:space="preserve">0.</w:t>
      </w:r>
      <w:r>
        <w:rPr>
          <w:rFonts w:ascii="Arial" w:hAnsi="Arial" w:cs="Arial"/>
          <w:sz w:val="24"/>
          <w:szCs w:val="24"/>
        </w:rPr>
        <w:tab/>
        <w:t xml:space="preserve">La autorización previa al nombramiento de Gerente será hecha por: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La Diputación Provincial.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El Patronato.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El Protectorado.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El Presidente.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</w:t>
      </w:r>
      <w:r>
        <w:rPr>
          <w:rFonts w:ascii="Arial" w:hAnsi="Arial" w:cs="Arial"/>
          <w:sz w:val="24"/>
          <w:szCs w:val="24"/>
        </w:rPr>
        <w:t xml:space="preserve">1.</w:t>
      </w:r>
      <w:r>
        <w:rPr>
          <w:rFonts w:ascii="Arial" w:hAnsi="Arial" w:cs="Arial"/>
          <w:sz w:val="24"/>
          <w:szCs w:val="24"/>
        </w:rPr>
        <w:tab/>
        <w:t xml:space="preserve">El Gerente es designado por el Patronato a propuesta de: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Presidente/a del Patronato.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Presidente/a de la Diputación de Alicante.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Presidente/a del Protectorado.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Todas son correctas.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</w:t>
      </w:r>
      <w:r>
        <w:rPr>
          <w:rFonts w:ascii="Arial" w:hAnsi="Arial" w:cs="Arial"/>
          <w:sz w:val="24"/>
          <w:szCs w:val="24"/>
        </w:rPr>
        <w:t xml:space="preserve">2.</w:t>
      </w:r>
      <w:r>
        <w:rPr>
          <w:rFonts w:ascii="Arial" w:hAnsi="Arial" w:cs="Arial"/>
          <w:sz w:val="24"/>
          <w:szCs w:val="24"/>
        </w:rPr>
        <w:tab/>
        <w:t xml:space="preserve">El/la Director/a del área económica de la Fundación, ejercerá su función cuando: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El Patronato le asignará, el ejercicio permanente y efectivo de aquellas facultades que requiera para llevar a cabo una correcta gestión de los asuntos económicos de la Fundación, todo ello dentro de los límites legales y de acuerdo a las directrices señaladas por el propio Patronato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El Patronato le asignará, mediante el correspondiente apoderamiento, el ejercicio permanente y efectivo de aquellas facultades que requiera para llevar a cabo una correcta gestión de los asuntos económicos de la Fundación, todo ello dentro de los límites legales y de acuerdo a las directrices señaladas por el propio Patronato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El Patronato le asignará, mediante el correspondiente apoderamiento, el ejercicio efectivo de aquellas facultades que requiera para llevar a cabo una correcta gestión de los asuntos económicos de la Fundación, todo ello dentro de los límites legales y de acuerdo a las directrices señaladas por el propio Patronato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El Patronato le asignará, mediante el correspondiente apoderamiento, el ejercicio permanente y efectivo de aquellas facultades que requiera para llevar a cabo una correcta gestión de los asuntos económicos de la Fundación.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</w:t>
      </w:r>
      <w:r>
        <w:rPr>
          <w:rFonts w:ascii="Arial" w:hAnsi="Arial" w:cs="Arial"/>
          <w:sz w:val="24"/>
          <w:szCs w:val="24"/>
        </w:rPr>
        <w:t xml:space="preserve">3.</w:t>
      </w:r>
      <w:r>
        <w:rPr>
          <w:rFonts w:ascii="Arial" w:hAnsi="Arial" w:cs="Arial"/>
          <w:sz w:val="24"/>
          <w:szCs w:val="24"/>
        </w:rPr>
        <w:tab/>
        <w:t xml:space="preserve">En que artículo de los Estatutos de la Fundación se regula El/la Director/a del área musical y artística de la Fundación: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Artículo 24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Artículo 25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Artículo 26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Artículo 27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 w:clear="all"/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</w:t>
      </w:r>
      <w:r>
        <w:rPr>
          <w:rFonts w:ascii="Arial" w:hAnsi="Arial" w:cs="Arial"/>
          <w:sz w:val="24"/>
          <w:szCs w:val="24"/>
        </w:rPr>
        <w:t xml:space="preserve">4.</w:t>
      </w:r>
      <w:r>
        <w:rPr>
          <w:rFonts w:ascii="Arial" w:hAnsi="Arial" w:cs="Arial"/>
          <w:sz w:val="24"/>
          <w:szCs w:val="24"/>
        </w:rPr>
        <w:tab/>
        <w:t xml:space="preserve">El Patronato podrá nombrar apoderados generales o especiales con las facultades y límites en los términos legalmente establecidos, cuales NO serán susceptibles de apoderamiento: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Las facultades que los Estatutos establecen para el Protectorado.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Las facultades que los Estatutos establecen para el Patronato.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Las facultades que los Estatutos establecen para el Gerente/Director.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Las facultades que los Estatutos establecen para el Presidente/a.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</w:t>
      </w:r>
      <w:r>
        <w:rPr>
          <w:rFonts w:ascii="Arial" w:hAnsi="Arial" w:cs="Arial"/>
          <w:sz w:val="24"/>
          <w:szCs w:val="24"/>
        </w:rPr>
        <w:t xml:space="preserve">5.</w:t>
      </w:r>
      <w:r>
        <w:rPr>
          <w:rFonts w:ascii="Arial" w:hAnsi="Arial" w:cs="Arial"/>
          <w:sz w:val="24"/>
          <w:szCs w:val="24"/>
        </w:rPr>
        <w:tab/>
        <w:t xml:space="preserve">Comité Musical, Artístico y de Gestión, es un órgano: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Consultivo.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De Gestión exclusivamente.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De Asesoramiento.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Ninguna es correcta.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</w:t>
      </w:r>
      <w:r>
        <w:rPr>
          <w:rFonts w:ascii="Arial" w:hAnsi="Arial" w:cs="Arial"/>
          <w:sz w:val="24"/>
          <w:szCs w:val="24"/>
        </w:rPr>
        <w:t xml:space="preserve">6.</w:t>
      </w:r>
      <w:r>
        <w:rPr>
          <w:rFonts w:ascii="Arial" w:hAnsi="Arial" w:cs="Arial"/>
          <w:sz w:val="24"/>
          <w:szCs w:val="24"/>
        </w:rPr>
        <w:tab/>
        <w:t xml:space="preserve">Serán funciones de este comité: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El asesoramiento y preparación de las reuniones del Patronato y de la Comisión Ejecutiva; el asesoramiento a la Gerencia y la coordinación de las actividades propias del Auditorio, fomentando la ejecución de cuantas actuaciones mejoren su buen funcionamiento. 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El asesoramiento y preparación de las reuniones del Patronato y de la Comisión Ejecutiva; el asesoramiento y la coordinación de las actividades propias del Auditorio contribuyendo de manera estable al cumplimiento de los fines de la Fundación, fomentando la ejecución de cuantas actuaciones mejoren su buen funcionamiento. 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El asesoramiento en las reuniones del Patronato y de la Comisión Ejecutiva; el asesoramiento a la Gerencia y la coordinación de las actividades propias del Auditorio contribuyendo de manera estable al cumplimiento de los fines de la Fundación, fomentando la ejecución de cuantas actuaciones mejoren su buen funcionamiento. 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El asesoramiento y preparación de las reuniones del Patronato y de la Comisión Ejecutiva; el asesoramiento a la Gerencia y la coordinación de las actividades propias del Auditorio contribuyendo de manera estable al cumplimiento de los fines de la Fundación, fomentando la ejecución de cuantas actuaciones mejoren su buen funcionamiento. 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</w:t>
      </w:r>
      <w:r>
        <w:rPr>
          <w:rFonts w:ascii="Arial" w:hAnsi="Arial" w:cs="Arial"/>
          <w:sz w:val="24"/>
          <w:szCs w:val="24"/>
        </w:rPr>
        <w:t xml:space="preserve">7.</w:t>
      </w:r>
      <w:r>
        <w:rPr>
          <w:rFonts w:ascii="Arial" w:hAnsi="Arial" w:cs="Arial"/>
          <w:sz w:val="24"/>
          <w:szCs w:val="24"/>
        </w:rPr>
        <w:tab/>
        <w:t xml:space="preserve">Las sesiones del comité descrito serán presididas por: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El Gerente de la Fundación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El Presidente de la Fundación.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El Presidente de la Diputación de Alicante.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El Presidente del Protectorado.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 w:clear="all"/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sz w:val="24"/>
          <w:szCs w:val="24"/>
        </w:rPr>
        <w:t xml:space="preserve">1</w:t>
      </w:r>
      <w:r>
        <w:rPr>
          <w:rFonts w:ascii="Arial" w:hAnsi="Arial" w:cs="Arial"/>
          <w:sz w:val="24"/>
          <w:szCs w:val="24"/>
        </w:rPr>
        <w:t xml:space="preserve">8.</w:t>
      </w:r>
      <w:r>
        <w:rPr>
          <w:rFonts w:ascii="Arial" w:hAnsi="Arial" w:cs="Arial"/>
          <w:sz w:val="24"/>
          <w:szCs w:val="24"/>
        </w:rPr>
        <w:tab/>
        <w:t xml:space="preserve">Este comité se reunirá periódicamente: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Al menos una vez al mes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Al menos una vez al trimestre.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Una vez al mes.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Una vez al trimestre.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</w:t>
      </w:r>
      <w:r>
        <w:rPr>
          <w:rFonts w:ascii="Arial" w:hAnsi="Arial" w:cs="Arial"/>
          <w:sz w:val="24"/>
          <w:szCs w:val="24"/>
        </w:rPr>
        <w:t xml:space="preserve">9.</w:t>
      </w:r>
      <w:r>
        <w:rPr>
          <w:rFonts w:ascii="Arial" w:hAnsi="Arial" w:cs="Arial"/>
          <w:sz w:val="24"/>
          <w:szCs w:val="24"/>
        </w:rPr>
        <w:tab/>
        <w:t xml:space="preserve">La composición de dicho órgano se determinará por el Patronato y en él se integrarán, en todo caso, además del Presidente/a: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el/la Director/a del área económica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el/la Director/a del área musical y artística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las respuestas a y b son ciertas.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Las respuestas a y b son incorrectas.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</w:t>
      </w:r>
      <w:r>
        <w:rPr>
          <w:rFonts w:ascii="Arial" w:hAnsi="Arial" w:cs="Arial"/>
          <w:sz w:val="24"/>
          <w:szCs w:val="24"/>
        </w:rPr>
        <w:t xml:space="preserve">0.</w:t>
      </w:r>
      <w:r>
        <w:rPr>
          <w:rFonts w:ascii="Arial" w:hAnsi="Arial" w:cs="Arial"/>
          <w:sz w:val="24"/>
          <w:szCs w:val="24"/>
        </w:rPr>
        <w:tab/>
        <w:t xml:space="preserve">El Comité Musical, Artístico y de Gestión se reunirá: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preceptivamente con anterioridad a de cada reunión del Comité Ejecutivo.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preceptivamente con anterioridad a las reuniones del Patronato.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voluntariamente con anterioridad a las reuniones del Patronato y con ocasión de cada reunión del Comité Ejecutivo.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preceptivamente con anterioridad a las reuniones del Patronato y con ocasión de cada reunión del Comité Ejecutivo.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 w:clear="all"/>
      </w:r>
    </w:p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1261"/>
        <w:gridCol w:w="1276"/>
      </w:tblGrid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</w:t>
            </w:r>
          </w:p>
        </w:tc>
      </w:tr>
    </w:tbl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>
      <w:pgSz w:h="16838" w:w="11906"/>
      <w:pgMar w:top="1417" w:right="1701" w:bottom="1417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 w:tplc="FFFFFFFF">
      <w:lvlJc w:val="left"/>
      <w:lvlText w:val="%1."/>
      <w:numFmt w:val="decimal"/>
      <w:pPr>
        <w:ind w:hanging="360" w:left="720"/>
      </w:pPr>
      <w:start w:val="1"/>
    </w:lvl>
    <w:lvl w:ilvl="1" w:tentative="true" w:tplc="FFFFFFFF">
      <w:lvlJc w:val="left"/>
      <w:lvlText w:val="%2."/>
      <w:numFmt w:val="lowerLetter"/>
      <w:pPr>
        <w:ind w:hanging="360" w:left="1440"/>
      </w:pPr>
      <w:start w:val="1"/>
    </w:lvl>
    <w:lvl w:ilvl="2" w:tentative="true" w:tplc="FFFFFFFF">
      <w:lvlJc w:val="right"/>
      <w:lvlText w:val="%3."/>
      <w:numFmt w:val="lowerRoman"/>
      <w:pPr>
        <w:ind w:hanging="180" w:left="2160"/>
      </w:pPr>
      <w:start w:val="1"/>
    </w:lvl>
    <w:lvl w:ilvl="3" w:tentative="true" w:tplc="FFFFFFFF">
      <w:lvlJc w:val="left"/>
      <w:lvlText w:val="%4."/>
      <w:numFmt w:val="decimal"/>
      <w:pPr>
        <w:ind w:hanging="360" w:left="2880"/>
      </w:pPr>
      <w:start w:val="1"/>
    </w:lvl>
    <w:lvl w:ilvl="4" w:tentative="true" w:tplc="FFFFFFFF">
      <w:lvlJc w:val="left"/>
      <w:lvlText w:val="%5."/>
      <w:numFmt w:val="lowerLetter"/>
      <w:pPr>
        <w:ind w:hanging="360" w:left="3600"/>
      </w:pPr>
      <w:start w:val="1"/>
    </w:lvl>
    <w:lvl w:ilvl="5" w:tentative="true" w:tplc="FFFFFFFF">
      <w:lvlJc w:val="right"/>
      <w:lvlText w:val="%6."/>
      <w:numFmt w:val="lowerRoman"/>
      <w:pPr>
        <w:ind w:hanging="180" w:left="4320"/>
      </w:pPr>
      <w:start w:val="1"/>
    </w:lvl>
    <w:lvl w:ilvl="6" w:tentative="true" w:tplc="FFFFFFFF">
      <w:lvlJc w:val="left"/>
      <w:lvlText w:val="%7."/>
      <w:numFmt w:val="decimal"/>
      <w:pPr>
        <w:ind w:hanging="360" w:left="5040"/>
      </w:pPr>
      <w:start w:val="1"/>
    </w:lvl>
    <w:lvl w:ilvl="7" w:tentative="true" w:tplc="FFFFFFFF">
      <w:lvlJc w:val="left"/>
      <w:lvlText w:val="%8."/>
      <w:numFmt w:val="lowerLetter"/>
      <w:pPr>
        <w:ind w:hanging="360" w:left="5760"/>
      </w:pPr>
      <w:start w:val="1"/>
    </w:lvl>
    <w:lvl w:ilvl="8" w:tentative="true" w:tplc="FFFFFFFF">
      <w:lvlJc w:val="right"/>
      <w:lvlText w:val="%9."/>
      <w:numFmt w:val="lowerRoman"/>
      <w:pPr>
        <w:ind w:hanging="180" w:left="6480"/>
      </w:pPr>
      <w:start w:val="1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Arial"/>
        <a:cs typeface="Arial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Arial"/>
        <a:cs typeface="Arial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ONLYOFFICE/7.5.0.127</Application>
  <Characters>7068</Characters>
  <CharactersWithSpaces>8337</CharactersWithSpaces>
  <Company/>
  <DocSecurity>0</DocSecurity>
  <HyperlinksChanged>false</HyperlinksChanged>
  <Lines>58</Lines>
  <LinksUpToDate>false</LinksUpToDate>
  <Pages>6</Pages>
  <Paragraphs>16</Paragraphs>
  <ScaleCrop>false</ScaleCrop>
  <SharedDoc>false</SharedDoc>
  <Template>Normal</Template>
  <TotalTime>3</TotalTime>
  <Words>1285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 CALDERON, MARIA ROSARIO</dc:creator>
  <cp:keywords/>
  <dc:description/>
  <cp:lastModifiedBy>DIAZ CALDERON, MARIA ROSARIO</cp:lastModifiedBy>
  <cp:revision>1</cp:revision>
  <dcterms:created xsi:type="dcterms:W3CDTF">2024-06-18T07:47:00Z</dcterms:created>
  <dcterms:modified xsi:type="dcterms:W3CDTF">2024-06-18T07:51:00Z</dcterms:modified>
</cp:coreProperties>
</file>