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2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>
      <w:pPr>
        <w:rPr>
          <w:lang w:val="en-GB"/>
        </w:rPr>
      </w:pPr>
    </w:p>
    <w:p>
      <w:pPr>
        <w:rPr>
          <w:lang w:val="en-GB"/>
        </w:rPr>
      </w:pPr>
    </w:p>
    <w:p>
      <w:pPr>
        <w:rPr>
          <w:lang w:val="en-GB"/>
        </w:rPr>
      </w:pPr>
    </w:p>
    <w:p>
      <w:pPr>
        <w:rPr>
          <w:lang w:val="en-GB"/>
        </w:rPr>
      </w:pPr>
    </w:p>
    <w:p>
      <w:pPr>
        <w:rPr>
          <w:lang w:val="en-GB"/>
        </w:rPr>
      </w:pPr>
    </w:p>
    <w:p>
      <w:pPr>
        <w:rPr>
          <w:lang w:val="en-GB"/>
        </w:rPr>
      </w:pPr>
    </w:p>
    <w:p>
      <w:pPr>
        <w:rPr>
          <w:lang w:val="en-GB"/>
        </w:rPr>
      </w:pPr>
    </w:p>
    <w:p>
      <w:pPr>
        <w:rPr>
          <w:lang w:val="en-GB"/>
        </w:rPr>
      </w:pPr>
    </w:p>
    <w:p>
      <w:pPr>
        <w:rPr>
          <w:lang w:val="en-GB"/>
        </w:rPr>
      </w:pPr>
    </w:p>
    <w:p>
      <w:pPr>
        <w:pStyle w:val="Titel"/>
        <w:rPr>
          <w:b w:val="0"/>
          <w:bCs w:val="0"/>
          <w:lang w:val="en-GB"/>
        </w:rPr>
      </w:pPr>
      <w:r>
        <w:rPr>
          <w:b w:val="0"/>
          <w:bCs w:val="0"/>
          <w:lang w:val="en-GB"/>
        </w:rPr>
        <w:t>Title</w:t>
      </w:r>
    </w:p>
    <w:p>
      <w:pPr>
        <w:jc w:val="center"/>
        <w:rPr>
          <w:iCs/>
          <w:sz w:val="26"/>
          <w:szCs w:val="26"/>
          <w:lang w:val="en-GB"/>
        </w:rPr>
      </w:pPr>
      <w:r>
        <w:rPr>
          <w:iCs/>
          <w:sz w:val="26"/>
          <w:szCs w:val="26"/>
          <w:lang w:val="en-GB"/>
        </w:rPr>
        <w:t>Subtitle</w:t>
      </w:r>
    </w:p>
    <w:p>
      <w:pPr>
        <w:rPr>
          <w:lang w:val="en-GB"/>
        </w:rPr>
      </w:pPr>
    </w:p>
    <w:p>
      <w:pPr>
        <w:rPr>
          <w:lang w:val="en-GB"/>
        </w:rPr>
      </w:pPr>
    </w:p>
    <w:p>
      <w:pPr>
        <w:rPr>
          <w:lang w:val="en-GB"/>
        </w:rPr>
      </w:pPr>
    </w:p>
    <w:p>
      <w:pPr>
        <w:rPr>
          <w:lang w:val="en-GB"/>
        </w:rPr>
      </w:pPr>
    </w:p>
    <w:p>
      <w:pPr>
        <w:rPr>
          <w:lang w:val="en-GB"/>
        </w:rPr>
      </w:pPr>
    </w:p>
    <w:p>
      <w:pPr>
        <w:rPr>
          <w:lang w:val="en-GB"/>
        </w:rPr>
      </w:pPr>
    </w:p>
    <w:p>
      <w:pPr>
        <w:rPr>
          <w:lang w:val="en-GB"/>
        </w:rPr>
      </w:pPr>
    </w:p>
    <w:p>
      <w:pPr>
        <w:rPr>
          <w:lang w:val="en-GB"/>
        </w:rPr>
      </w:pPr>
    </w:p>
    <w:p>
      <w:pPr>
        <w:rPr>
          <w:lang w:val="en-GB"/>
        </w:rPr>
      </w:pPr>
    </w:p>
    <w:p>
      <w:pPr>
        <w:rPr>
          <w:lang w:val="en-GB"/>
        </w:rPr>
      </w:pPr>
    </w:p>
    <w:p>
      <w:pPr>
        <w:rPr>
          <w:lang w:val="en-GB"/>
        </w:rPr>
      </w:pPr>
    </w:p>
    <w:p>
      <w:pPr>
        <w:rPr>
          <w:lang w:val="en-GB"/>
        </w:rPr>
      </w:pPr>
    </w:p>
    <w:p>
      <w:pPr>
        <w:rPr>
          <w:lang w:val="en-GB"/>
        </w:rPr>
      </w:pPr>
    </w:p>
    <w:p>
      <w:pPr>
        <w:rPr>
          <w:lang w:val="en-GB"/>
        </w:rPr>
      </w:pPr>
    </w:p>
    <w:p>
      <w:pPr>
        <w:jc w:val="center"/>
        <w:rPr>
          <w:lang w:val="en-GB"/>
        </w:rPr>
      </w:pPr>
      <w:r>
        <w:rPr>
          <w:lang w:val="en-GB"/>
        </w:rPr>
        <w:t>name</w:t>
      </w:r>
    </w:p>
    <w:p>
      <w:pPr>
        <w:jc w:val="center"/>
        <w:rPr>
          <w:lang w:val="en-GB"/>
        </w:rPr>
      </w:pPr>
      <w:r>
        <w:rPr>
          <w:lang w:val="en-GB"/>
        </w:rPr>
        <w:t>department</w:t>
      </w:r>
    </w:p>
    <w:p>
      <w:pPr>
        <w:jc w:val="center"/>
        <w:rPr>
          <w:lang w:val="en-GB"/>
        </w:rPr>
        <w:sectPr>
          <w:headerReference w:type="default" r:id="rId8"/>
          <w:footerReference w:type="default" r:id="rId9"/>
          <w:footerReference w:type="first" r:id="rId10"/>
          <w:pgSz w:w="11906" w:h="16838"/>
          <w:pgMar w:top="1417" w:right="1417" w:bottom="1417" w:left="1417" w:header="708" w:footer="708" w:gutter="0"/>
          <w:pgNumType w:fmt="lowerRoman"/>
          <w:cols w:space="708"/>
          <w:titlePg/>
          <w:docGrid w:linePitch="360"/>
        </w:sectPr>
      </w:pPr>
      <w:r>
        <w:rPr>
          <w:lang w:val="en-GB"/>
        </w:rPr>
        <w:t>date</w:t>
      </w:r>
    </w:p>
    <w:sdt>
      <w:sdtPr>
        <w:rPr>
          <w:rFonts w:asciiTheme="minorHAnsi" w:eastAsiaTheme="minorHAnsi" w:hAnsiTheme="minorHAnsi" w:cs="Times New Roman"/>
          <w:b/>
          <w:sz w:val="24"/>
          <w:szCs w:val="24"/>
          <w:lang w:val="en-GB" w:eastAsia="nl-NL"/>
        </w:rPr>
        <w:id w:val="1571927677"/>
        <w:docPartObj>
          <w:docPartGallery w:val="Table of Contents"/>
          <w:docPartUnique/>
        </w:docPartObj>
      </w:sdtPr>
      <w:sdtEndPr>
        <w:rPr>
          <w:rFonts w:ascii="Times New Roman" w:hAnsi="Times New Roman"/>
          <w:b w:val="0"/>
          <w:lang w:eastAsia="en-US"/>
        </w:rPr>
      </w:sdtEndPr>
      <w:sdtContent>
        <w:p>
          <w:pPr>
            <w:pStyle w:val="Kopvaninhoudsopgave"/>
            <w:rPr>
              <w:lang w:val="en-GB"/>
            </w:rPr>
          </w:pPr>
          <w:r>
            <w:rPr>
              <w:lang w:val="en-GB"/>
            </w:rPr>
            <w:t>Contents</w:t>
          </w:r>
        </w:p>
        <w:p>
          <w:pPr>
            <w:pStyle w:val="Inhopg1"/>
            <w:tabs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nl-NL" w:bidi="he-IL"/>
            </w:rPr>
          </w:pPr>
          <w:r>
            <w:rPr>
              <w:lang w:val="en-GB"/>
            </w:rPr>
            <w:fldChar w:fldCharType="begin"/>
          </w:r>
          <w:r>
            <w:rPr>
              <w:lang w:val="en-GB"/>
            </w:rPr>
            <w:instrText xml:space="preserve"> TOC \o "1-2" \h \z \u </w:instrText>
          </w:r>
          <w:r>
            <w:rPr>
              <w:lang w:val="en-GB"/>
            </w:rPr>
            <w:fldChar w:fldCharType="separate"/>
          </w:r>
          <w:hyperlink w:anchor="_Toc115960422" w:history="1">
            <w:r>
              <w:rPr>
                <w:rStyle w:val="Hyperlink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_Toc115960422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>
          <w:pPr>
            <w:pStyle w:val="Inhopg1"/>
            <w:tabs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nl-NL" w:bidi="he-IL"/>
            </w:rPr>
          </w:pPr>
          <w:hyperlink w:anchor="_Toc115960423" w:history="1">
            <w:r>
              <w:rPr>
                <w:rStyle w:val="Hyperlink"/>
                <w:noProof/>
                <w:lang w:val="en-GB"/>
              </w:rPr>
              <w:t>1: Name of the Chapter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_Toc115960423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>
          <w:pPr>
            <w:pStyle w:val="Inhopg2"/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nl-NL" w:bidi="he-IL"/>
            </w:rPr>
          </w:pPr>
          <w:hyperlink w:anchor="_Toc115960424" w:history="1">
            <w:r>
              <w:rPr>
                <w:rStyle w:val="Hyperlink"/>
                <w:noProof/>
              </w:rPr>
              <w:t>Paragraph Heading 1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_Toc115960424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>
          <w:pPr>
            <w:pStyle w:val="Inhopg2"/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nl-NL" w:bidi="he-IL"/>
            </w:rPr>
          </w:pPr>
          <w:hyperlink w:anchor="_Toc115960425" w:history="1">
            <w:r>
              <w:rPr>
                <w:rStyle w:val="Hyperlink"/>
                <w:noProof/>
              </w:rPr>
              <w:t>Paragraph 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_Toc115960425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>
          <w:pPr>
            <w:pStyle w:val="Inhopg2"/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nl-NL" w:bidi="he-IL"/>
            </w:rPr>
          </w:pPr>
          <w:hyperlink w:anchor="_Toc115960426" w:history="1">
            <w:r>
              <w:rPr>
                <w:rStyle w:val="Hyperlink"/>
                <w:noProof/>
              </w:rPr>
              <w:t>Paragraph 3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_Toc115960426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>
          <w:pPr>
            <w:pStyle w:val="Inhopg1"/>
            <w:tabs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nl-NL" w:bidi="he-IL"/>
            </w:rPr>
          </w:pPr>
          <w:hyperlink w:anchor="_Toc115960427" w:history="1">
            <w:r>
              <w:rPr>
                <w:rStyle w:val="Hyperlink"/>
                <w:noProof/>
                <w:lang w:val="en-GB"/>
              </w:rPr>
              <w:t>2: Another Name of a Chapter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_Toc115960427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>
          <w:pPr>
            <w:pStyle w:val="Inhopg1"/>
            <w:tabs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nl-NL" w:bidi="he-IL"/>
            </w:rPr>
          </w:pPr>
          <w:hyperlink w:anchor="_Toc115960428" w:history="1">
            <w:r>
              <w:rPr>
                <w:rStyle w:val="Hyperlink"/>
                <w:noProof/>
                <w:lang w:val="en-GB"/>
              </w:rPr>
              <w:t>3: Third Name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_Toc115960428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>
          <w:pPr>
            <w:pStyle w:val="Inhopg1"/>
            <w:tabs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nl-NL" w:bidi="he-IL"/>
            </w:rPr>
          </w:pPr>
          <w:hyperlink w:anchor="_Toc115960429" w:history="1">
            <w:r>
              <w:rPr>
                <w:rStyle w:val="Hyperlink"/>
                <w:noProof/>
                <w:lang w:val="en-GB"/>
              </w:rPr>
              <w:t>Conclusion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_Toc115960429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>
          <w:pPr>
            <w:pStyle w:val="Inhopg1"/>
            <w:tabs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nl-NL" w:bidi="he-IL"/>
            </w:rPr>
          </w:pPr>
          <w:hyperlink w:anchor="_Toc115960430" w:history="1">
            <w:r>
              <w:rPr>
                <w:rStyle w:val="Hyperlink"/>
                <w:noProof/>
                <w:lang w:val="en-GB"/>
              </w:rPr>
              <w:t>Bibliography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_Toc115960430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>
          <w:pPr>
            <w:rPr>
              <w:b/>
              <w:lang w:val="en-GB"/>
            </w:rPr>
            <w:sectPr>
              <w:footerReference w:type="first" r:id="rId11"/>
              <w:pgSz w:w="11906" w:h="16838"/>
              <w:pgMar w:top="1417" w:right="1417" w:bottom="1417" w:left="1417" w:header="708" w:footer="708" w:gutter="0"/>
              <w:pgNumType w:fmt="lowerRoman"/>
              <w:cols w:space="708"/>
              <w:titlePg/>
              <w:docGrid w:linePitch="360"/>
            </w:sectPr>
          </w:pPr>
          <w:r>
            <w:rPr>
              <w:lang w:val="en-GB"/>
            </w:rPr>
            <w:fldChar w:fldCharType="end"/>
          </w:r>
        </w:p>
      </w:sdtContent>
    </w:sdt>
    <w:p>
      <w:pPr>
        <w:pStyle w:val="Kop1"/>
        <w:rPr>
          <w:lang w:val="en-GB"/>
        </w:rPr>
      </w:pPr>
      <w:bookmarkStart w:id="0" w:name="_Toc115960422"/>
      <w:r>
        <w:rPr>
          <w:lang w:val="en-GB"/>
        </w:rPr>
        <w:lastRenderedPageBreak/>
        <w:t>Introduction</w:t>
      </w:r>
      <w:bookmarkEnd w:id="0"/>
    </w:p>
    <w:p>
      <w:pPr>
        <w:pStyle w:val="Turabian"/>
        <w:rPr>
          <w:lang w:val="en-GB"/>
        </w:rPr>
      </w:pPr>
      <w:r>
        <w:rPr>
          <w:lang w:val="en-GB"/>
        </w:rPr>
        <w:t>Lorem ipsum dolor sit amet, consectetur adipiscing elit. Ut id pulvinar turpis. Etiam imperdiet sollicitudin dolor, a consequat dolor tempor vitae. Etiam augue dolor, volutpat a accumsan vitae, blandit ut nibh. Donec suscipit feugiat nunc in condimentum. Nulla sollicitudin urna nec arcu cursus et suscipit enim imperdiet.</w:t>
      </w:r>
    </w:p>
    <w:p>
      <w:pPr>
        <w:pStyle w:val="Turabian"/>
        <w:rPr>
          <w:lang w:val="en-GB"/>
        </w:rPr>
      </w:pPr>
      <w:r>
        <w:rPr>
          <w:lang w:val="en-GB"/>
        </w:rPr>
        <w:t>Lorem ipsum dolor sit amet, consectetur adipiscing elit. Ut id pulvinar turpis. Etiam imperdiet sollicitudin dolor, a consequat dolor tempor vitae. Etiam augue dolor, volutpat a accumsan vitae, blandit ut nibh. Donec suscipit feugiat nunc in condimentum. Nulla sollicitudin urna nec arcu cursus et suscipit enim imperdiet.</w:t>
      </w:r>
    </w:p>
    <w:p>
      <w:pPr>
        <w:pStyle w:val="Turabian"/>
        <w:rPr>
          <w:lang w:val="en-GB"/>
        </w:rPr>
        <w:sectPr>
          <w:headerReference w:type="default" r:id="rId12"/>
          <w:footerReference w:type="default" r:id="rId13"/>
          <w:pgSz w:w="11906" w:h="16838"/>
          <w:pgMar w:top="1417" w:right="1417" w:bottom="1417" w:left="1417" w:header="708" w:footer="708" w:gutter="0"/>
          <w:cols w:space="708"/>
          <w:titlePg/>
          <w:docGrid w:linePitch="360"/>
        </w:sectPr>
      </w:pPr>
    </w:p>
    <w:p>
      <w:pPr>
        <w:pStyle w:val="Kop1"/>
        <w:rPr>
          <w:lang w:val="en-GB"/>
        </w:rPr>
      </w:pPr>
      <w:bookmarkStart w:id="1" w:name="_Toc115960423"/>
      <w:r>
        <w:rPr>
          <w:lang w:val="en-GB"/>
        </w:rPr>
        <w:lastRenderedPageBreak/>
        <w:t>1: Name of the Chapter</w:t>
      </w:r>
      <w:bookmarkEnd w:id="1"/>
    </w:p>
    <w:p>
      <w:pPr>
        <w:pStyle w:val="Turabian"/>
        <w:rPr>
          <w:lang w:val="en-GB"/>
        </w:rPr>
      </w:pPr>
      <w:r>
        <w:rPr>
          <w:lang w:val="en-GB"/>
        </w:rPr>
        <w:t>Lorem ipsum dolor sit amet, consectetur adipiscing elit. Ut id pulvinar turpis. Etiam imperdiet sollicitudin dolor, a consequat dolor tempor vitae. Etiam augue dolor, volutpat a accumsan vitae, blandit ut nibh. Donec suscipit feugiat nunc in condimentum. Nulla sollicitudin urna nec arcu cursus et suscipit enim imperdiet.</w:t>
      </w:r>
      <w:r>
        <w:rPr>
          <w:rStyle w:val="Voetnootmarkering"/>
          <w:lang w:val="en-GB"/>
        </w:rPr>
        <w:footnoteReference w:id="1"/>
      </w:r>
    </w:p>
    <w:p>
      <w:pPr>
        <w:pStyle w:val="Kop2"/>
      </w:pPr>
      <w:bookmarkStart w:id="2" w:name="_Toc115960424"/>
      <w:r>
        <w:t>Paragraph Heading 1</w:t>
      </w:r>
      <w:bookmarkEnd w:id="2"/>
    </w:p>
    <w:p>
      <w:pPr>
        <w:pStyle w:val="Turabian"/>
        <w:rPr>
          <w:lang w:val="en-GB"/>
        </w:rPr>
      </w:pPr>
      <w:r>
        <w:rPr>
          <w:lang w:val="en-GB"/>
        </w:rPr>
        <w:t>Lorem ipsum dolor sit amet, consectetur adipiscing elit. Ut id pulvinar turpis. Etiam imperdiet sollicitudin dolor, a consequat dolor tempor vitae. Etiam augue dolor, volutpat a accumsan vitae, blandit ut nibh. Donec suscipit feugiat nunc in condimentum. Nulla sollicitudin urna nec arcu cursus et suscipit enim imperdiet.</w:t>
      </w:r>
    </w:p>
    <w:p>
      <w:pPr>
        <w:pStyle w:val="TurCitaat"/>
        <w:rPr>
          <w:lang w:val="en-GB"/>
        </w:rPr>
      </w:pPr>
      <w:r>
        <w:rPr>
          <w:lang w:val="en-GB"/>
        </w:rPr>
        <w:t>Lorem ipsum dolor sit amet, consectetur adipiscing elit. Ut id pulvinar turpis. Etiam imperdiet sollicitudin dolor, a consequat dolor tempor vitae. Etiam augue dolor, volutpat a accumsan vitae, blandit ut nibh. Donec suscipit feugiat nunc in condimentum. Nulla sollicitudin urna nec arcu cursus et suscipit enim imperdiet.</w:t>
      </w:r>
      <w:r>
        <w:rPr>
          <w:rStyle w:val="Voetnootmarkering"/>
        </w:rPr>
        <w:footnoteReference w:id="2"/>
      </w:r>
    </w:p>
    <w:p>
      <w:pPr>
        <w:pStyle w:val="Kop3"/>
      </w:pPr>
      <w:r>
        <w:t>Paragraph Heading 1.1</w:t>
      </w:r>
    </w:p>
    <w:p>
      <w:pPr>
        <w:pStyle w:val="Turabian"/>
        <w:rPr>
          <w:lang w:val="en-GB"/>
        </w:rPr>
      </w:pPr>
      <w:r>
        <w:rPr>
          <w:lang w:val="en-GB"/>
        </w:rPr>
        <w:t>Lorem ipsum dolor sit amet, consectetur adipiscing elit. Ut id pulvinar turpis. Etiam imperdiet sollicitudin dolor, a consequat dolor tempor vitae. Etiam augue dolor, volutpat a accumsan vitae, blandit ut nibh. Donec suscipit feugiat nunc in condimentum. Nulla sollicitudin urna nec arcu cursus et suscipit enim imperdiet.</w:t>
      </w:r>
    </w:p>
    <w:p>
      <w:pPr>
        <w:pStyle w:val="Kop4"/>
      </w:pPr>
      <w:r>
        <w:t>Paragraph Heading 1.1.1</w:t>
      </w:r>
    </w:p>
    <w:p>
      <w:pPr>
        <w:pStyle w:val="Turabian"/>
        <w:rPr>
          <w:lang w:val="en-GB"/>
        </w:rPr>
      </w:pPr>
      <w:r>
        <w:rPr>
          <w:lang w:val="en-GB"/>
        </w:rPr>
        <w:t>Lorem ipsum dolor sit amet, consectetur adipiscing elit. Ut id pulvinar turpis. Etiam imperdiet sollicitudin dolor, a consequat dolor tempor vitae. Etiam augue dolor, volutpat a accumsan vitae, blandit ut nibh. Donec suscipit feugiat nunc in condimentum. Nulla sollicitudin urna nec arcu cursus et suscipit enim imperdiet.</w:t>
      </w:r>
    </w:p>
    <w:p>
      <w:pPr>
        <w:pStyle w:val="Kop5"/>
      </w:pPr>
      <w:r>
        <w:lastRenderedPageBreak/>
        <w:t>Paragraph heading 1.1.1.1</w:t>
      </w:r>
    </w:p>
    <w:p>
      <w:pPr>
        <w:pStyle w:val="Turabian"/>
        <w:rPr>
          <w:lang w:val="en-GB"/>
        </w:rPr>
      </w:pPr>
      <w:r>
        <w:rPr>
          <w:lang w:val="en-GB"/>
        </w:rPr>
        <w:t>Lorem ipsum dolor sit amet, consectetur adipiscing elit. Ut id pulvinar turpis. Etiam imperdiet sollicitudin dolor, a consequat dolor tempor vitae. Etiam augue dolor, volutpat a accumsan vitae, blandit ut nibh. Donec suscipit feugiat nunc in condimentum. Nulla sollicitudin urna nec arcu cursus et suscipit enim imperdiet.</w:t>
      </w:r>
    </w:p>
    <w:p>
      <w:pPr>
        <w:pStyle w:val="Kop2"/>
      </w:pPr>
      <w:bookmarkStart w:id="3" w:name="_Toc115960425"/>
      <w:r>
        <w:t>Paragraph 2</w:t>
      </w:r>
      <w:bookmarkEnd w:id="3"/>
    </w:p>
    <w:p>
      <w:pPr>
        <w:pStyle w:val="Turabian"/>
        <w:rPr>
          <w:lang w:val="en-GB"/>
        </w:rPr>
      </w:pPr>
      <w:r>
        <w:rPr>
          <w:lang w:val="en-GB"/>
        </w:rPr>
        <w:t>Lorem ipsum dolor sit amet, consectetur adipiscing elit. Ut id pulvinar turpis. Etiam imperdiet sollicitudin dolor, a consequat dolor tempor vitae. Etiam augue dolor, volutpat a accumsan vitae, blandit ut nibh. Donec suscipit feugiat nunc in condimentum. Nulla sollicitudin urna nec arcu cursus et suscipit enim imperdiet.</w:t>
      </w:r>
    </w:p>
    <w:p>
      <w:pPr>
        <w:pStyle w:val="Kop3"/>
      </w:pPr>
      <w:r>
        <w:t>Paragraph 2.1</w:t>
      </w:r>
    </w:p>
    <w:p>
      <w:pPr>
        <w:pStyle w:val="Turabian"/>
        <w:rPr>
          <w:lang w:val="en-GB"/>
        </w:rPr>
      </w:pPr>
      <w:r>
        <w:rPr>
          <w:lang w:val="en-GB"/>
        </w:rPr>
        <w:t>Lorem ipsum dolor sit amet, consectetur adipiscing elit. Ut id pulvinar turpis. Etiam imperdiet sollicitudin dolor, a consequat dolor tempor vitae. Etiam augue dolor, volutpat a accumsan vitae, blandit ut nibh. Donec suscipit feugiat nunc in condimentum. Nulla sollicitudin urna nec arcu cursus et suscipit enim imperdiet.</w:t>
      </w:r>
    </w:p>
    <w:p>
      <w:pPr>
        <w:pStyle w:val="Kop4"/>
      </w:pPr>
      <w:r>
        <w:t>Paragraph Heading 2.1.1</w:t>
      </w:r>
    </w:p>
    <w:p>
      <w:pPr>
        <w:pStyle w:val="Turabian"/>
        <w:rPr>
          <w:lang w:val="en-GB"/>
        </w:rPr>
      </w:pPr>
      <w:r>
        <w:rPr>
          <w:lang w:val="en-GB"/>
        </w:rPr>
        <w:t>Lorem ipsum dolor sit amet, consectetur adipiscing elit. Ut id pulvinar turpis. Etiam imperdiet sollicitudin dolor, a consequat dolor tempor vitae. Etiam augue dolor, volutpat a accumsan vitae, blandit ut nibh. Donec suscipit feugiat nunc in condimentum. Nulla sollicitudin urna nec arcu cursus et suscipit enim imperdiet.</w:t>
      </w:r>
    </w:p>
    <w:p>
      <w:pPr>
        <w:pStyle w:val="Kop2"/>
      </w:pPr>
      <w:bookmarkStart w:id="4" w:name="_Toc115960426"/>
      <w:r>
        <w:t>Paragraph 3</w:t>
      </w:r>
      <w:bookmarkEnd w:id="4"/>
    </w:p>
    <w:p>
      <w:pPr>
        <w:pStyle w:val="Turabian"/>
        <w:rPr>
          <w:lang w:val="en-GB"/>
        </w:rPr>
      </w:pPr>
      <w:r>
        <w:rPr>
          <w:lang w:val="en-GB"/>
        </w:rPr>
        <w:t>Lorem ipsum dolor sit amet, consectetur adipiscing elit. Ut id pulvinar turpis. Etiam imperdiet sollicitudin dolor, a consequat dolor tempor vitae. Etiam augue dolor, volutpat a accumsan vitae, blandit ut nibh. Donec suscipit feugiat nunc in condimentum. Nulla sollicitudin urna nec arcu cursus et suscipit enim imperdiet.</w:t>
      </w:r>
    </w:p>
    <w:p>
      <w:pPr>
        <w:pStyle w:val="Kop3"/>
      </w:pPr>
      <w:r>
        <w:t>Paragraph 3.1</w:t>
      </w:r>
    </w:p>
    <w:p>
      <w:pPr>
        <w:pStyle w:val="Turabian"/>
        <w:rPr>
          <w:lang w:val="en-GB"/>
        </w:rPr>
      </w:pPr>
      <w:r>
        <w:rPr>
          <w:lang w:val="en-GB"/>
        </w:rPr>
        <w:t xml:space="preserve">Lorem ipsum dolor sit amet, consectetur adipiscing elit. Ut id pulvinar turpis. Etiam imperdiet sollicitudin dolor, a consequat dolor tempor vitae. Etiam augue dolor, volutpat a </w:t>
      </w:r>
      <w:r>
        <w:rPr>
          <w:lang w:val="en-GB"/>
        </w:rPr>
        <w:lastRenderedPageBreak/>
        <w:t>accumsan vitae, blandit ut nibh. Donec suscipit feugiat nunc in condimentum. Nulla sollicitudin urna nec arcu cursus et suscipit enim imperdiet.</w:t>
      </w:r>
    </w:p>
    <w:p>
      <w:pPr>
        <w:spacing w:after="0" w:line="360" w:lineRule="auto"/>
        <w:rPr>
          <w:lang w:val="en-GB"/>
        </w:rPr>
        <w:sectPr>
          <w:pgSz w:w="11906" w:h="16838"/>
          <w:pgMar w:top="1417" w:right="1417" w:bottom="1417" w:left="1417" w:header="708" w:footer="708" w:gutter="0"/>
          <w:cols w:space="708"/>
          <w:titlePg/>
          <w:docGrid w:linePitch="360"/>
        </w:sectPr>
      </w:pPr>
    </w:p>
    <w:p>
      <w:pPr>
        <w:pStyle w:val="Kop1"/>
        <w:rPr>
          <w:lang w:val="en-GB"/>
        </w:rPr>
      </w:pPr>
      <w:bookmarkStart w:id="5" w:name="_Toc115960427"/>
      <w:r>
        <w:rPr>
          <w:lang w:val="en-GB"/>
        </w:rPr>
        <w:lastRenderedPageBreak/>
        <w:t>2: Another Name of a Chapter</w:t>
      </w:r>
      <w:bookmarkEnd w:id="5"/>
    </w:p>
    <w:p>
      <w:pPr>
        <w:pStyle w:val="Turabian"/>
        <w:rPr>
          <w:lang w:val="en-GB"/>
        </w:rPr>
      </w:pPr>
      <w:r>
        <w:rPr>
          <w:lang w:val="en-GB"/>
        </w:rPr>
        <w:t>Lorem ipsum dolor sit amet, consectetur adipiscing elit. Ut id pulvinar turpis. Etiam imperdiet sollicitudin dolor, a consequat dolor tempor vitae. Etiam augue dolor, volutpat a accumsan vitae, blandit ut nibh. Donec suscipit feugiat nunc in condimentum. Nulla sollicitudin urna nec arcu cursus et suscipit enim imperdiet.</w:t>
      </w:r>
    </w:p>
    <w:p>
      <w:pPr>
        <w:pStyle w:val="Turabian"/>
        <w:rPr>
          <w:lang w:val="en-GB"/>
        </w:rPr>
      </w:pPr>
      <w:r>
        <w:rPr>
          <w:lang w:val="en-GB"/>
        </w:rPr>
        <w:t>Lorem ipsum dolor sit amet, consectetur adipiscing elit. Ut id pulvinar turpis. Etiam imperdiet sollicitudin dolor, a consequat dolor tempor vitae. Etiam augue dolor, volutpat a accumsan vitae, blandit ut nibh. Donec suscipit feugiat nunc in condimentum. Nulla sollicitudin urna nec arcu cursus et suscipit enim imperdiet.</w:t>
      </w:r>
    </w:p>
    <w:p>
      <w:pPr>
        <w:spacing w:after="0" w:line="360" w:lineRule="auto"/>
        <w:rPr>
          <w:lang w:val="en-GB"/>
        </w:rPr>
        <w:sectPr>
          <w:pgSz w:w="11906" w:h="16838"/>
          <w:pgMar w:top="1417" w:right="1417" w:bottom="1417" w:left="1417" w:header="708" w:footer="708" w:gutter="0"/>
          <w:cols w:space="708"/>
          <w:titlePg/>
          <w:docGrid w:linePitch="360"/>
        </w:sectPr>
      </w:pPr>
    </w:p>
    <w:p>
      <w:pPr>
        <w:pStyle w:val="Kop1"/>
        <w:rPr>
          <w:lang w:val="en-GB"/>
        </w:rPr>
      </w:pPr>
      <w:bookmarkStart w:id="6" w:name="_Toc115960428"/>
      <w:r>
        <w:rPr>
          <w:lang w:val="en-GB"/>
        </w:rPr>
        <w:lastRenderedPageBreak/>
        <w:t>3: Third Name</w:t>
      </w:r>
      <w:bookmarkEnd w:id="6"/>
    </w:p>
    <w:p>
      <w:pPr>
        <w:pStyle w:val="Turabian"/>
        <w:rPr>
          <w:lang w:val="en-GB"/>
        </w:rPr>
      </w:pPr>
      <w:r>
        <w:rPr>
          <w:lang w:val="en-GB"/>
        </w:rPr>
        <w:t>Lorem ipsum dolor sit amet, consectetur adipiscing elit. Ut id pulvinar turpis. Etiam imperdiet sollicitudin dolor, a consequat dolor tempor vitae. Etiam augue dolor, volutpat a accumsan vitae, blandit ut nibh. Donec suscipit feugiat nunc in condimentum. Nulla sollicitudin urna nec arcu cursus et suscipit enim imperdiet.</w:t>
      </w:r>
      <w:r>
        <w:rPr>
          <w:rStyle w:val="Voetnootmarkering"/>
          <w:lang w:val="en-GB"/>
        </w:rPr>
        <w:footnoteReference w:id="3"/>
      </w:r>
    </w:p>
    <w:p>
      <w:pPr>
        <w:pStyle w:val="Turabian"/>
        <w:rPr>
          <w:lang w:val="en-GB"/>
        </w:rPr>
      </w:pPr>
      <w:r>
        <w:rPr>
          <w:lang w:val="en-GB"/>
        </w:rPr>
        <w:t>Lorem ipsum dolor sit amet, consectetur adipiscing elit. Ut id pulvinar turpis. Etiam imperdiet sollicitudin dolor, a consequat dolor tempor vitae. Etiam augue dolor, volutpat a accumsan vitae, blandit ut nibh. Donec suscipit feugiat nunc in condimentum. Nulla sollicitudin urna nec arcu cursus et suscipit enim imperdiet.</w:t>
      </w:r>
    </w:p>
    <w:p>
      <w:pPr>
        <w:pStyle w:val="Turabian"/>
        <w:rPr>
          <w:lang w:val="en-GB"/>
        </w:rPr>
        <w:sectPr>
          <w:pgSz w:w="11906" w:h="16838"/>
          <w:pgMar w:top="1417" w:right="1417" w:bottom="1417" w:left="1417" w:header="708" w:footer="708" w:gutter="0"/>
          <w:cols w:space="708"/>
          <w:titlePg/>
          <w:docGrid w:linePitch="360"/>
        </w:sectPr>
      </w:pPr>
    </w:p>
    <w:p>
      <w:pPr>
        <w:pStyle w:val="Kop1"/>
        <w:rPr>
          <w:lang w:val="en-GB"/>
        </w:rPr>
      </w:pPr>
      <w:bookmarkStart w:id="7" w:name="_Toc115960429"/>
      <w:r>
        <w:rPr>
          <w:lang w:val="en-GB"/>
        </w:rPr>
        <w:lastRenderedPageBreak/>
        <w:t>Conclusion</w:t>
      </w:r>
      <w:bookmarkEnd w:id="7"/>
    </w:p>
    <w:p>
      <w:pPr>
        <w:pStyle w:val="Turabian"/>
        <w:rPr>
          <w:lang w:val="en-GB"/>
        </w:rPr>
      </w:pPr>
      <w:r>
        <w:rPr>
          <w:lang w:val="en-GB"/>
        </w:rPr>
        <w:t>Lorem ipsum dolor sit amet, consectetur adipiscing elit. Ut id pulvinar turpis. Etiam imperdiet sollicitudin dolor, a consequat dolor tempor vitae. Etiam augue dolor, volutpat a accumsan vitae, blandit ut nibh. Donec suscipit feugiat nunc in condimentum. Nulla sollicitudin urna nec arcu cursus et suscipit enim imperdiet.</w:t>
      </w:r>
      <w:r>
        <w:rPr>
          <w:rStyle w:val="Voetnootmarkering"/>
          <w:lang w:val="en-GB"/>
        </w:rPr>
        <w:footnoteReference w:id="4"/>
      </w:r>
      <w:r>
        <w:rPr>
          <w:lang w:val="en-GB"/>
        </w:rPr>
        <w:t xml:space="preserve"> Etiam augue dolor, volutpat a accumsan vitae, blandit ut nibh. Donec suscipit feugiat nunc in condimentum. Nulla sollicitudin urna nec arcu cursus et suscipit enim imperdiet.</w:t>
      </w:r>
    </w:p>
    <w:p>
      <w:pPr>
        <w:pStyle w:val="Turabian"/>
        <w:rPr>
          <w:lang w:val="en-GB"/>
        </w:rPr>
      </w:pPr>
      <w:r>
        <w:rPr>
          <w:lang w:val="en-GB"/>
        </w:rPr>
        <w:t>Lorem ipsum dolor sit amet, consectetur adipiscing elit. Ut id pulvinar turpis. Etiam imperdiet sollicitudin dolor, a consequat dolor tempor vitae. Etiam augue dolor, volutpat a accumsan vitae, blandit ut nibh. Donec suscipit feugiat nunc in condimentum. Nulla sollicitudin urna nec arcu cursus et suscipit enim imperdiet.</w:t>
      </w:r>
    </w:p>
    <w:p>
      <w:pPr>
        <w:pStyle w:val="Turabian"/>
        <w:rPr>
          <w:lang w:val="en-GB"/>
        </w:rPr>
        <w:sectPr>
          <w:pgSz w:w="11906" w:h="16838"/>
          <w:pgMar w:top="1417" w:right="1417" w:bottom="1417" w:left="1417" w:header="708" w:footer="708" w:gutter="0"/>
          <w:cols w:space="708"/>
          <w:titlePg/>
          <w:docGrid w:linePitch="360"/>
        </w:sectPr>
      </w:pPr>
    </w:p>
    <w:p>
      <w:pPr>
        <w:pStyle w:val="Kop1"/>
        <w:rPr>
          <w:lang w:val="en-GB"/>
        </w:rPr>
      </w:pPr>
      <w:bookmarkStart w:id="8" w:name="_Toc115960430"/>
      <w:r>
        <w:rPr>
          <w:lang w:val="en-GB"/>
        </w:rPr>
        <w:lastRenderedPageBreak/>
        <w:t>Bibliography</w:t>
      </w:r>
      <w:bookmarkEnd w:id="8"/>
    </w:p>
    <w:p>
      <w:pPr>
        <w:pStyle w:val="Bibliografie"/>
        <w:rPr>
          <w:lang w:val="en-GB"/>
        </w:rPr>
      </w:pPr>
      <w:r>
        <w:rPr>
          <w:lang w:val="en-GB"/>
        </w:rPr>
        <w:t xml:space="preserve">Carlile, J.C. </w:t>
      </w:r>
      <w:r>
        <w:rPr>
          <w:i/>
          <w:iCs/>
          <w:lang w:val="en-GB"/>
        </w:rPr>
        <w:t>Charles Haddon Spurgeon: An Interpretative Biography</w:t>
      </w:r>
      <w:r>
        <w:rPr>
          <w:lang w:val="en-GB"/>
        </w:rPr>
        <w:t>. London: Religious Tract Society, 1933.</w:t>
      </w:r>
    </w:p>
    <w:p>
      <w:pPr>
        <w:pStyle w:val="Bibliografie"/>
        <w:rPr>
          <w:lang w:val="en-GB"/>
        </w:rPr>
      </w:pPr>
      <w:r>
        <w:rPr>
          <w:lang w:val="en-GB"/>
        </w:rPr>
        <w:t xml:space="preserve">MacGregor, Kirk R. </w:t>
      </w:r>
      <w:r>
        <w:rPr>
          <w:i/>
          <w:iCs/>
          <w:lang w:val="en-GB"/>
        </w:rPr>
        <w:t>Contemporary Theology: An Introduction</w:t>
      </w:r>
      <w:r>
        <w:rPr>
          <w:lang w:val="en-GB"/>
        </w:rPr>
        <w:t>. Grand Rapids, MI: Zondervan, 2019.</w:t>
      </w:r>
    </w:p>
    <w:p>
      <w:pPr>
        <w:pStyle w:val="Bibliografie"/>
        <w:rPr>
          <w:lang w:val="en-GB"/>
        </w:rPr>
      </w:pPr>
      <w:r>
        <w:rPr>
          <w:lang w:val="en-GB"/>
        </w:rPr>
        <w:t xml:space="preserve">Spurgeon, C.H. </w:t>
      </w:r>
      <w:r>
        <w:rPr>
          <w:i/>
          <w:iCs/>
          <w:lang w:val="en-GB"/>
        </w:rPr>
        <w:t>C.H. Spurgeon Autobiography</w:t>
      </w:r>
      <w:r>
        <w:rPr>
          <w:lang w:val="en-GB"/>
        </w:rPr>
        <w:t xml:space="preserve">. Vol. 1, </w:t>
      </w:r>
      <w:r>
        <w:rPr>
          <w:i/>
          <w:iCs/>
          <w:lang w:val="en-GB"/>
        </w:rPr>
        <w:t>The Early Years, 1834-1859: A revised edition of his autobiography originally compiled by his wife and private secretary</w:t>
      </w:r>
      <w:r>
        <w:rPr>
          <w:lang w:val="en-GB"/>
        </w:rPr>
        <w:t>. London: Banner of Truth Trust, 1962.</w:t>
      </w:r>
    </w:p>
    <w:p>
      <w:pPr>
        <w:pStyle w:val="Bibliografie"/>
        <w:rPr>
          <w:lang w:val="en-GB"/>
        </w:rPr>
      </w:pPr>
      <w:r>
        <w:rPr>
          <w:lang w:val="en-GB"/>
        </w:rPr>
        <w:t xml:space="preserve">———. </w:t>
      </w:r>
      <w:r>
        <w:rPr>
          <w:i/>
          <w:iCs/>
          <w:lang w:val="en-GB"/>
        </w:rPr>
        <w:t>C.H. Spurgeon Autobiography</w:t>
      </w:r>
      <w:r>
        <w:rPr>
          <w:lang w:val="en-GB"/>
        </w:rPr>
        <w:t xml:space="preserve">. Vol. 2, </w:t>
      </w:r>
      <w:r>
        <w:rPr>
          <w:i/>
          <w:iCs/>
          <w:lang w:val="en-GB"/>
        </w:rPr>
        <w:t>The Full Harvest, 1860-1892: A revised edition, originally compiled by Susannah Spurgeon and Joseph Harreld</w:t>
      </w:r>
      <w:r>
        <w:rPr>
          <w:lang w:val="en-GB"/>
        </w:rPr>
        <w:t>. 1973. Reprint, London: Banner of Truth Trust, 1987.</w:t>
      </w:r>
    </w:p>
    <w:p>
      <w:pPr>
        <w:pStyle w:val="Bibliografie"/>
        <w:rPr>
          <w:lang w:val="en-GB"/>
        </w:rPr>
      </w:pPr>
      <w:r>
        <w:rPr>
          <w:lang w:val="en-GB"/>
        </w:rPr>
        <w:t xml:space="preserve">Spurgeon, Charles. </w:t>
      </w:r>
      <w:r>
        <w:rPr>
          <w:i/>
          <w:iCs/>
          <w:lang w:val="en-GB"/>
        </w:rPr>
        <w:t>All of Grace: An Earnest Word with Those Who Are Seeking Salvation by the Lord Jesus Christ</w:t>
      </w:r>
      <w:r>
        <w:rPr>
          <w:lang w:val="en-GB"/>
        </w:rPr>
        <w:t>. Grand Rapids, MI: Christian Classics Ethereal Library, n.d. https://ccel.org/ccel/s/spurgeon/grace/cache/grace.pdf.</w:t>
      </w:r>
    </w:p>
    <w:p>
      <w:pPr>
        <w:pStyle w:val="Bibliografie"/>
        <w:rPr>
          <w:lang w:val="en-GB"/>
        </w:rPr>
      </w:pPr>
      <w:r>
        <w:rPr>
          <w:lang w:val="en-GB"/>
        </w:rPr>
        <w:t xml:space="preserve">———. </w:t>
      </w:r>
      <w:r>
        <w:rPr>
          <w:i/>
          <w:iCs/>
          <w:lang w:val="en-GB"/>
        </w:rPr>
        <w:t>The Down Grade Controversy</w:t>
      </w:r>
      <w:r>
        <w:rPr>
          <w:lang w:val="en-GB"/>
        </w:rPr>
        <w:t>. Pasadena, TX: Pilgrim Publications, n.d. https://www.grace-ebooks.com/library/Charles%20Spurgeon/CHS_Downgrade%20Contoversy%2C%20The.PDF.</w:t>
      </w:r>
    </w:p>
    <w:p>
      <w:pPr>
        <w:pStyle w:val="Bibliografie"/>
        <w:rPr>
          <w:lang w:val="en-GB"/>
        </w:rPr>
      </w:pPr>
      <w:r>
        <w:rPr>
          <w:lang w:val="en-GB"/>
        </w:rPr>
        <w:t xml:space="preserve">Spurgeon, Charles Haddon. </w:t>
      </w:r>
      <w:r>
        <w:rPr>
          <w:i/>
          <w:iCs/>
          <w:lang w:val="en-GB"/>
        </w:rPr>
        <w:t>Metropolitian Tabernacle Pulpit</w:t>
      </w:r>
      <w:r>
        <w:rPr>
          <w:lang w:val="en-GB"/>
        </w:rPr>
        <w:t>. 63 vols. London: Banner of Truth Trust, 1855–1917. https://www.spurgeongems.org/spurgeon-sermons/.</w:t>
      </w:r>
    </w:p>
    <w:p>
      <w:pPr>
        <w:pStyle w:val="Bibliografie"/>
        <w:rPr>
          <w:lang w:val="en-GB"/>
        </w:rPr>
      </w:pPr>
      <w:r>
        <w:rPr>
          <w:lang w:val="en-GB"/>
        </w:rPr>
        <w:t xml:space="preserve">———. </w:t>
      </w:r>
      <w:r>
        <w:rPr>
          <w:i/>
          <w:iCs/>
          <w:lang w:val="en-GB"/>
        </w:rPr>
        <w:t>The Sword and the Trowel</w:t>
      </w:r>
      <w:r>
        <w:rPr>
          <w:lang w:val="en-GB"/>
        </w:rPr>
        <w:t>. London: Passmore &amp; Alabaster, 1865–1892. https://www.spurgeon.org/collection/the-sword-and-the-trowel/.</w:t>
      </w:r>
    </w:p>
    <w:p>
      <w:pPr>
        <w:pStyle w:val="Bibliografie"/>
        <w:rPr>
          <w:lang w:val="en-GB"/>
        </w:rPr>
      </w:pPr>
      <w:r>
        <w:rPr>
          <w:lang w:val="en-GB"/>
        </w:rPr>
        <w:t xml:space="preserve">———. </w:t>
      </w:r>
      <w:r>
        <w:rPr>
          <w:i/>
          <w:iCs/>
          <w:lang w:val="en-GB"/>
        </w:rPr>
        <w:t>“Till He Come”: Communion Meditations and Addresses</w:t>
      </w:r>
      <w:r>
        <w:rPr>
          <w:lang w:val="en-GB"/>
        </w:rPr>
        <w:t>. London: Passmore &amp; Alabaster, 1896.</w:t>
      </w:r>
    </w:p>
    <w:p>
      <w:pPr>
        <w:pStyle w:val="Bibliografie"/>
        <w:rPr>
          <w:lang w:val="en-GB"/>
        </w:rPr>
      </w:pPr>
    </w:p>
    <w:p>
      <w:pPr>
        <w:pStyle w:val="Bibliografie"/>
        <w:ind w:left="709" w:hanging="709"/>
        <w:rPr>
          <w:lang w:val="en-GB"/>
        </w:rPr>
      </w:pPr>
      <w:r>
        <w:rPr>
          <w:lang w:val="en-GB"/>
        </w:rPr>
        <w:t xml:space="preserve">August Burns Red. “Existence.” On </w:t>
      </w:r>
      <w:r>
        <w:rPr>
          <w:i/>
          <w:lang w:val="en-GB"/>
        </w:rPr>
        <w:t xml:space="preserve">Constellations. </w:t>
      </w:r>
      <w:r>
        <w:rPr>
          <w:lang w:val="en-GB"/>
        </w:rPr>
        <w:t>Solid State Records. HOFF07CDA. CD. 2009.</w:t>
      </w:r>
    </w:p>
    <w:p>
      <w:pPr>
        <w:pStyle w:val="Bibliografie"/>
        <w:ind w:left="709" w:hanging="709"/>
        <w:rPr>
          <w:lang w:val="en-GB"/>
        </w:rPr>
      </w:pPr>
      <w:r>
        <w:rPr>
          <w:lang w:val="en-GB"/>
        </w:rPr>
        <w:t xml:space="preserve">Berkhof, Hendrikus. </w:t>
      </w:r>
      <w:r>
        <w:rPr>
          <w:i/>
          <w:lang w:val="en-GB"/>
        </w:rPr>
        <w:t>Christian Faith: An introduction to the Study of Faith.</w:t>
      </w:r>
      <w:r>
        <w:rPr>
          <w:lang w:val="en-GB"/>
        </w:rPr>
        <w:t xml:space="preserve"> Translated by Sierd Woudstra. Grand Rapids, MI: William B. Eerdmans, 1979. </w:t>
      </w:r>
    </w:p>
    <w:p>
      <w:pPr>
        <w:pStyle w:val="Bibliografie"/>
        <w:ind w:left="709" w:hanging="709"/>
        <w:rPr>
          <w:lang w:val="en-GB"/>
        </w:rPr>
      </w:pPr>
      <w:r>
        <w:rPr>
          <w:lang w:val="en-GB"/>
        </w:rPr>
        <w:t xml:space="preserve">Brooks, James A. </w:t>
      </w:r>
      <w:r>
        <w:rPr>
          <w:i/>
          <w:lang w:val="en-GB"/>
        </w:rPr>
        <w:t>Mark.</w:t>
      </w:r>
      <w:r>
        <w:rPr>
          <w:lang w:val="en-GB"/>
        </w:rPr>
        <w:t xml:space="preserve"> NAC. Nashville, TN: Broadman, 1991.</w:t>
      </w:r>
    </w:p>
    <w:p>
      <w:pPr>
        <w:pStyle w:val="Bibliografie"/>
        <w:ind w:left="709" w:hanging="709"/>
        <w:rPr>
          <w:lang w:val="en-GB"/>
        </w:rPr>
      </w:pPr>
      <w:r>
        <w:rPr>
          <w:lang w:val="en-GB"/>
        </w:rPr>
        <w:t>Cassell, Bo. “The Dirty Little Secret about Mission Trips.” YouthMinistry.com, http://www.youthministry.com/?q=node/5412 (accessed December 4, 2009).</w:t>
      </w:r>
    </w:p>
    <w:p>
      <w:pPr>
        <w:pStyle w:val="Bibliografie"/>
        <w:ind w:left="709" w:hanging="709"/>
        <w:rPr>
          <w:lang w:val="en-GB"/>
        </w:rPr>
      </w:pPr>
      <w:r>
        <w:rPr>
          <w:lang w:val="en-GB"/>
        </w:rPr>
        <w:t xml:space="preserve">Kierkegaard, Søren. “Truth Is Subjective.” In </w:t>
      </w:r>
      <w:r>
        <w:rPr>
          <w:i/>
          <w:lang w:val="en-GB"/>
        </w:rPr>
        <w:t xml:space="preserve">Philosophy of Religion: Selected Readings. </w:t>
      </w:r>
      <w:r>
        <w:rPr>
          <w:lang w:val="en-GB"/>
        </w:rPr>
        <w:t xml:space="preserve">Edited by Michael Peterson, William Hasker, Bruce Reichenbach, and David </w:t>
      </w:r>
      <w:r>
        <w:rPr>
          <w:lang w:val="en-GB"/>
        </w:rPr>
        <w:lastRenderedPageBreak/>
        <w:t>Basinger. Translated by David Swenson. 3rd ed., 118-22. 1941. Renewed 1969. Reprint, New York: Oxford University Press, 2007.</w:t>
      </w:r>
    </w:p>
    <w:p>
      <w:pPr>
        <w:pStyle w:val="Bibliografie"/>
        <w:ind w:left="709" w:hanging="709"/>
        <w:rPr>
          <w:lang w:val="en-GB"/>
        </w:rPr>
      </w:pPr>
      <w:r>
        <w:rPr>
          <w:lang w:val="en-GB"/>
        </w:rPr>
        <w:t xml:space="preserve">Lewis, C. S. “Mere Christianity.” In </w:t>
      </w:r>
      <w:r>
        <w:rPr>
          <w:i/>
          <w:lang w:val="en-GB"/>
        </w:rPr>
        <w:t>Mere Christianity</w:t>
      </w:r>
      <w:r>
        <w:rPr>
          <w:lang w:val="en-GB"/>
        </w:rPr>
        <w:t xml:space="preserve"> and </w:t>
      </w:r>
      <w:r>
        <w:rPr>
          <w:i/>
          <w:lang w:val="en-GB"/>
        </w:rPr>
        <w:t xml:space="preserve">The Screwtape Letters: Complete in One Volume, </w:t>
      </w:r>
      <w:r>
        <w:rPr>
          <w:lang w:val="en-GB"/>
        </w:rPr>
        <w:t>iii-227. 1952; New York: HarperCollins, 2003.</w:t>
      </w:r>
    </w:p>
    <w:p>
      <w:pPr>
        <w:pStyle w:val="Bibliografie"/>
        <w:ind w:left="709" w:hanging="709"/>
        <w:rPr>
          <w:lang w:val="en-GB"/>
        </w:rPr>
      </w:pPr>
      <w:r>
        <w:rPr>
          <w:lang w:val="en-GB"/>
        </w:rPr>
        <w:t xml:space="preserve">Moloney, Francis J. </w:t>
      </w:r>
      <w:r>
        <w:rPr>
          <w:i/>
          <w:lang w:val="en-GB"/>
        </w:rPr>
        <w:t>The Gospel of Mark: A Commentary.</w:t>
      </w:r>
      <w:r>
        <w:rPr>
          <w:lang w:val="en-GB"/>
        </w:rPr>
        <w:t xml:space="preserve"> Peabody, MA: Hendrickson, 2002.</w:t>
      </w:r>
    </w:p>
    <w:p>
      <w:pPr>
        <w:pStyle w:val="Bibliografie"/>
        <w:ind w:left="709" w:hanging="709"/>
        <w:rPr>
          <w:lang w:val="en-GB"/>
        </w:rPr>
      </w:pPr>
      <w:r>
        <w:rPr>
          <w:lang w:val="en-GB"/>
        </w:rPr>
        <w:t xml:space="preserve">Oden, Thomas C., and Christopher A. Hall, eds. </w:t>
      </w:r>
      <w:r>
        <w:rPr>
          <w:i/>
          <w:lang w:val="en-GB"/>
        </w:rPr>
        <w:t>Mark.</w:t>
      </w:r>
      <w:r>
        <w:rPr>
          <w:lang w:val="en-GB"/>
        </w:rPr>
        <w:t xml:space="preserve"> Ancient Christian Commentary on Scripture: New Testament II. Downers Grove, IL: InterVarsity, 1998.</w:t>
      </w:r>
    </w:p>
    <w:p>
      <w:pPr>
        <w:pStyle w:val="Bibliografie"/>
        <w:ind w:left="709" w:hanging="709"/>
        <w:rPr>
          <w:lang w:val="en-GB"/>
        </w:rPr>
      </w:pPr>
      <w:r>
        <w:rPr>
          <w:lang w:val="en-GB"/>
        </w:rPr>
        <w:t xml:space="preserve">Palomino, Miguel Ángel. “‘If Everything Is Mission, Nothing Is Mission’: Reflections on Short-Term Missions.” </w:t>
      </w:r>
      <w:r>
        <w:rPr>
          <w:i/>
          <w:lang w:val="en-GB"/>
        </w:rPr>
        <w:t>Journal of Latin American Theology</w:t>
      </w:r>
      <w:r>
        <w:rPr>
          <w:lang w:val="en-GB"/>
        </w:rPr>
        <w:t xml:space="preserve"> 2, no. 2 (2007): 208-226. </w:t>
      </w:r>
    </w:p>
    <w:p>
      <w:pPr>
        <w:pStyle w:val="Bibliografie"/>
        <w:ind w:left="709" w:hanging="709"/>
        <w:rPr>
          <w:lang w:val="en-GB"/>
        </w:rPr>
      </w:pPr>
      <w:r>
        <w:rPr>
          <w:lang w:val="en-GB"/>
        </w:rPr>
        <w:t>Smith, James K. A. The Fall of Interpretation: Philosophical Foundations for a Creational Hermeneutic. Downers Grove, IL: InterVarsity, 2000.</w:t>
      </w:r>
    </w:p>
    <w:p>
      <w:pPr>
        <w:pStyle w:val="Bibliografie"/>
        <w:ind w:left="709" w:hanging="709"/>
        <w:rPr>
          <w:lang w:val="en-GB"/>
        </w:rPr>
      </w:pPr>
      <w:r>
        <w:rPr>
          <w:lang w:val="en-GB"/>
        </w:rPr>
        <w:t>———. Review of The Next Reformation: Why Evangelicals Must Embrace Postmodernity, by Carl Raschke. Pneuma 27, no. 2 (2005): 404-6.</w:t>
      </w:r>
    </w:p>
    <w:p>
      <w:pPr>
        <w:pStyle w:val="Bibliografie"/>
        <w:ind w:left="709" w:hanging="709"/>
        <w:rPr>
          <w:lang w:val="en-GB"/>
        </w:rPr>
      </w:pPr>
      <w:r>
        <w:rPr>
          <w:lang w:val="en-GB"/>
        </w:rPr>
        <w:t xml:space="preserve">Tannehill, Robert C. “The Disciples in Mark: The Function of a Narrative Role.” </w:t>
      </w:r>
      <w:r>
        <w:rPr>
          <w:i/>
          <w:lang w:val="en-GB"/>
        </w:rPr>
        <w:t xml:space="preserve">JR </w:t>
      </w:r>
      <w:r>
        <w:rPr>
          <w:lang w:val="en-GB"/>
        </w:rPr>
        <w:t>57 (1977): 386-405.</w:t>
      </w:r>
    </w:p>
    <w:p>
      <w:pPr>
        <w:pStyle w:val="Bibliografie"/>
        <w:ind w:left="709" w:hanging="709"/>
        <w:rPr>
          <w:lang w:val="en-GB"/>
        </w:rPr>
      </w:pPr>
      <w:r>
        <w:rPr>
          <w:lang w:val="en-GB"/>
        </w:rPr>
        <w:t xml:space="preserve">Towner, Philip H. “Household and Household Codes.” In </w:t>
      </w:r>
      <w:r>
        <w:rPr>
          <w:i/>
          <w:lang w:val="en-GB"/>
        </w:rPr>
        <w:t>Dictionary of Paul and His Letters.</w:t>
      </w:r>
      <w:r>
        <w:rPr>
          <w:lang w:val="en-GB"/>
        </w:rPr>
        <w:t xml:space="preserve"> Edited by Gerald F. Hawthorne, Ralph P. Martin, and Daniel G. Reid, 417-23. Downers Grove, IL: InterVarsity, 1993.</w:t>
      </w:r>
    </w:p>
    <w:p>
      <w:pPr>
        <w:pStyle w:val="Bibliografie"/>
        <w:ind w:left="709" w:hanging="709"/>
      </w:pPr>
      <w:r>
        <w:rPr>
          <w:lang w:val="en-GB"/>
        </w:rPr>
        <w:t xml:space="preserve">Vanhoozer, Kevin J. “The Voice and the Actor: A Dramatic Proposal about the Ministry and Minstrelsy of Theology.” In </w:t>
      </w:r>
      <w:r>
        <w:rPr>
          <w:i/>
          <w:lang w:val="en-GB"/>
        </w:rPr>
        <w:t xml:space="preserve">Evangelical Futures: A Conversation on Theological Method. </w:t>
      </w:r>
      <w:r>
        <w:rPr>
          <w:lang w:val="en-GB"/>
        </w:rPr>
        <w:t xml:space="preserve">Edited by John G. Stackhouse Jr., 61-106. </w:t>
      </w:r>
      <w:r>
        <w:t>Grand Rapids, MI: Baker Books, 2000.</w:t>
      </w:r>
    </w:p>
    <w:p>
      <w:pPr>
        <w:pStyle w:val="Turabian"/>
        <w:rPr>
          <w:lang w:val="en-GB"/>
        </w:rPr>
      </w:pPr>
    </w:p>
    <w:sectPr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>
      <w:pPr>
        <w:spacing w:after="0" w:line="240" w:lineRule="auto"/>
      </w:pPr>
      <w:r>
        <w:separator/>
      </w:r>
    </w:p>
  </w:endnote>
  <w:endnote w:type="continuationSeparator" w:id="0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894619304"/>
      <w:docPartObj>
        <w:docPartGallery w:val="Page Numbers (Bottom of Page)"/>
        <w:docPartUnique/>
      </w:docPartObj>
    </w:sdtPr>
    <w:sdtContent>
      <w:p>
        <w:pPr>
          <w:pStyle w:val="Voettekst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>
    <w:pPr>
      <w:pStyle w:val="Voettekst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>
    <w:pPr>
      <w:pStyle w:val="Voettekst"/>
      <w:jc w:val="cen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575701000"/>
      <w:docPartObj>
        <w:docPartGallery w:val="Page Numbers (Bottom of Page)"/>
        <w:docPartUnique/>
      </w:docPartObj>
    </w:sdtPr>
    <w:sdtContent>
      <w:p>
        <w:pPr>
          <w:pStyle w:val="Voettekst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>
    <w:pPr>
      <w:pStyle w:val="Voettekst"/>
      <w:jc w:val="cen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>
      <w:pPr>
        <w:spacing w:after="0" w:line="240" w:lineRule="auto"/>
      </w:pPr>
      <w:r>
        <w:separator/>
      </w:r>
    </w:p>
  </w:footnote>
  <w:footnote w:type="continuationSeparator" w:id="0">
    <w:p>
      <w:pPr>
        <w:spacing w:after="0" w:line="240" w:lineRule="auto"/>
      </w:pPr>
      <w:r>
        <w:continuationSeparator/>
      </w:r>
    </w:p>
  </w:footnote>
  <w:footnote w:id="1">
    <w:p>
      <w:pPr>
        <w:pStyle w:val="Voetnoottekst"/>
        <w:rPr>
          <w:lang w:val="en-GB"/>
        </w:rPr>
      </w:pPr>
      <w:r>
        <w:rPr>
          <w:rStyle w:val="Voetnootmarkering"/>
        </w:rPr>
        <w:footnoteRef/>
      </w:r>
      <w:r>
        <w:rPr>
          <w:lang w:val="en-GB"/>
        </w:rPr>
        <w:t xml:space="preserve"> </w:t>
      </w:r>
      <w:r>
        <w:rPr>
          <w:szCs w:val="24"/>
          <w:lang w:val="en-GB"/>
        </w:rPr>
        <w:t xml:space="preserve">C.H. Spurgeon, </w:t>
      </w:r>
      <w:r>
        <w:rPr>
          <w:i/>
          <w:iCs/>
          <w:szCs w:val="24"/>
          <w:lang w:val="en-GB"/>
        </w:rPr>
        <w:t>C.H. Spurgeon Autobiography</w:t>
      </w:r>
      <w:r>
        <w:rPr>
          <w:szCs w:val="24"/>
          <w:lang w:val="en-GB"/>
        </w:rPr>
        <w:t xml:space="preserve">, vol. 1, </w:t>
      </w:r>
      <w:r>
        <w:rPr>
          <w:i/>
          <w:iCs/>
          <w:szCs w:val="24"/>
          <w:lang w:val="en-GB"/>
        </w:rPr>
        <w:t>The Early Years, 1834-1859: A revised edition of his autobiography originally compiled by his wife and private secretary</w:t>
      </w:r>
      <w:r>
        <w:rPr>
          <w:szCs w:val="24"/>
          <w:lang w:val="en-GB"/>
        </w:rPr>
        <w:t xml:space="preserve"> (London: Banner of Truth Trust, 1962), xviii, 2.</w:t>
      </w:r>
    </w:p>
  </w:footnote>
  <w:footnote w:id="2">
    <w:p>
      <w:pPr>
        <w:pStyle w:val="Voetnoottekst"/>
        <w:rPr>
          <w:lang w:val="en-GB"/>
        </w:rPr>
      </w:pPr>
      <w:r>
        <w:rPr>
          <w:rStyle w:val="Voetnootmarkering"/>
        </w:rPr>
        <w:footnoteRef/>
      </w:r>
      <w:r>
        <w:rPr>
          <w:lang w:val="en-GB"/>
        </w:rPr>
        <w:t xml:space="preserve"> Spurgeon, 1:34.</w:t>
      </w:r>
    </w:p>
  </w:footnote>
  <w:footnote w:id="3">
    <w:p>
      <w:pPr>
        <w:pStyle w:val="Voetnoottekst"/>
        <w:rPr>
          <w:lang w:val="en-GB"/>
        </w:rPr>
      </w:pPr>
      <w:r>
        <w:rPr>
          <w:rStyle w:val="Voetnootmarkering"/>
        </w:rPr>
        <w:footnoteRef/>
      </w:r>
      <w:r>
        <w:rPr>
          <w:lang w:val="en-GB"/>
        </w:rPr>
        <w:t xml:space="preserve"> </w:t>
      </w:r>
      <w:r>
        <w:rPr>
          <w:szCs w:val="24"/>
          <w:lang w:val="en-GB"/>
        </w:rPr>
        <w:t xml:space="preserve">MacGregor, </w:t>
      </w:r>
      <w:r>
        <w:rPr>
          <w:i/>
          <w:iCs/>
          <w:szCs w:val="24"/>
          <w:lang w:val="en-GB"/>
        </w:rPr>
        <w:t>Contemporary Theology</w:t>
      </w:r>
      <w:r>
        <w:rPr>
          <w:szCs w:val="24"/>
          <w:lang w:val="en-GB"/>
        </w:rPr>
        <w:t>, 75.</w:t>
      </w:r>
    </w:p>
  </w:footnote>
  <w:footnote w:id="4">
    <w:p>
      <w:pPr>
        <w:pStyle w:val="Voetnoottekst"/>
        <w:rPr>
          <w:lang w:val="en-GB"/>
        </w:rPr>
      </w:pPr>
      <w:r>
        <w:rPr>
          <w:rStyle w:val="Voetnootmarkering"/>
        </w:rPr>
        <w:footnoteRef/>
      </w:r>
      <w:r>
        <w:rPr>
          <w:lang w:val="en-GB"/>
        </w:rPr>
        <w:t xml:space="preserve"> </w:t>
      </w:r>
      <w:r>
        <w:rPr>
          <w:szCs w:val="24"/>
          <w:lang w:val="en-GB"/>
        </w:rPr>
        <w:t xml:space="preserve">Spurgeon, </w:t>
      </w:r>
      <w:r>
        <w:rPr>
          <w:i/>
          <w:iCs/>
          <w:szCs w:val="24"/>
          <w:lang w:val="en-GB"/>
        </w:rPr>
        <w:t>Metropolitian Tabernacle Pulpit</w:t>
      </w:r>
      <w:r>
        <w:rPr>
          <w:szCs w:val="24"/>
          <w:lang w:val="en-GB"/>
        </w:rPr>
        <w:t>, vol. 17 (London: Banner of Truth Trust, 1871), chap. 979, 2;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600681337"/>
      <w:docPartObj>
        <w:docPartGallery w:val="Page Numbers (Top of Page)"/>
        <w:docPartUnique/>
      </w:docPartObj>
    </w:sdtPr>
    <w:sdtContent>
      <w:p>
        <w:pPr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113741853"/>
      <w:docPartObj>
        <w:docPartGallery w:val="Page Numbers (Top of Page)"/>
        <w:docPartUnique/>
      </w:docPartObj>
    </w:sdtPr>
    <w:sdtContent>
      <w:p>
        <w:pPr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2E4C907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7EC85ED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B74C4E8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7A0A2D9A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F430642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EA065D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74E63428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BA50263E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DDCA36E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93C8F6F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1165827500">
    <w:abstractNumId w:val="9"/>
  </w:num>
  <w:num w:numId="2" w16cid:durableId="1749308073">
    <w:abstractNumId w:val="7"/>
  </w:num>
  <w:num w:numId="3" w16cid:durableId="406197415">
    <w:abstractNumId w:val="6"/>
  </w:num>
  <w:num w:numId="4" w16cid:durableId="1473596614">
    <w:abstractNumId w:val="5"/>
  </w:num>
  <w:num w:numId="5" w16cid:durableId="2009943839">
    <w:abstractNumId w:val="4"/>
  </w:num>
  <w:num w:numId="6" w16cid:durableId="1230072112">
    <w:abstractNumId w:val="8"/>
  </w:num>
  <w:num w:numId="7" w16cid:durableId="1049844426">
    <w:abstractNumId w:val="3"/>
  </w:num>
  <w:num w:numId="8" w16cid:durableId="2131705502">
    <w:abstractNumId w:val="2"/>
  </w:num>
  <w:num w:numId="9" w16cid:durableId="478695440">
    <w:abstractNumId w:val="1"/>
  </w:num>
  <w:num w:numId="10" w16cid:durableId="117121666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="Times New Roman"/>
        <w:bCs/>
        <w:sz w:val="24"/>
        <w:szCs w:val="24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6" w:qFormat="1"/>
    <w:lsdException w:name="heading 2" w:semiHidden="1" w:uiPriority="7" w:unhideWhenUsed="1" w:qFormat="1"/>
    <w:lsdException w:name="heading 3" w:semiHidden="1" w:uiPriority="8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/>
    <w:lsdException w:name="heading 7" w:semiHidden="1" w:uiPriority="6" w:unhideWhenUsed="1"/>
    <w:lsdException w:name="heading 8" w:semiHidden="1" w:uiPriority="6" w:unhideWhenUsed="1"/>
    <w:lsdException w:name="heading 9" w:semiHidden="1" w:uiPriority="6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3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9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/>
    <w:lsdException w:name="Intense Emphasis" w:semiHidden="1" w:uiPriority="21" w:unhideWhenUsed="1" w:qFormat="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 w:qFormat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Pr>
      <w:bCs w:val="0"/>
    </w:rPr>
  </w:style>
  <w:style w:type="paragraph" w:styleId="Kop1">
    <w:name w:val="heading 1"/>
    <w:basedOn w:val="Standaard"/>
    <w:next w:val="Turabian"/>
    <w:link w:val="Kop1Char"/>
    <w:uiPriority w:val="2"/>
    <w:qFormat/>
    <w:pPr>
      <w:keepNext/>
      <w:keepLines/>
      <w:pageBreakBefore/>
      <w:spacing w:before="240" w:after="480" w:line="360" w:lineRule="auto"/>
      <w:jc w:val="center"/>
      <w:outlineLvl w:val="0"/>
    </w:pPr>
    <w:rPr>
      <w:rFonts w:eastAsiaTheme="majorEastAsia" w:cstheme="majorBidi"/>
      <w:color w:val="000000" w:themeColor="text1"/>
      <w:sz w:val="32"/>
      <w:szCs w:val="32"/>
    </w:rPr>
  </w:style>
  <w:style w:type="paragraph" w:styleId="Kop2">
    <w:name w:val="heading 2"/>
    <w:basedOn w:val="Standaard"/>
    <w:next w:val="Turabian"/>
    <w:link w:val="Kop2Char"/>
    <w:uiPriority w:val="3"/>
    <w:unhideWhenUsed/>
    <w:qFormat/>
    <w:pPr>
      <w:keepNext/>
      <w:keepLines/>
      <w:spacing w:before="480" w:after="0" w:line="360" w:lineRule="auto"/>
      <w:jc w:val="center"/>
      <w:outlineLvl w:val="1"/>
    </w:pPr>
    <w:rPr>
      <w:rFonts w:eastAsiaTheme="majorEastAsia" w:cstheme="majorBidi"/>
      <w:i/>
      <w:iCs/>
      <w:color w:val="000000" w:themeColor="text1"/>
      <w:lang w:val="en-GB"/>
    </w:rPr>
  </w:style>
  <w:style w:type="paragraph" w:styleId="Kop3">
    <w:name w:val="heading 3"/>
    <w:basedOn w:val="Standaard"/>
    <w:next w:val="Turabian"/>
    <w:link w:val="Kop3Char"/>
    <w:uiPriority w:val="4"/>
    <w:unhideWhenUsed/>
    <w:qFormat/>
    <w:pPr>
      <w:keepNext/>
      <w:keepLines/>
      <w:spacing w:before="480" w:after="0" w:line="360" w:lineRule="auto"/>
      <w:jc w:val="center"/>
      <w:outlineLvl w:val="2"/>
    </w:pPr>
    <w:rPr>
      <w:rFonts w:eastAsiaTheme="majorEastAsia" w:cstheme="majorBidi"/>
      <w:lang w:val="en-GB"/>
    </w:rPr>
  </w:style>
  <w:style w:type="paragraph" w:styleId="Kop4">
    <w:name w:val="heading 4"/>
    <w:basedOn w:val="Kop3"/>
    <w:next w:val="Standaard"/>
    <w:link w:val="Kop4Char"/>
    <w:uiPriority w:val="4"/>
    <w:unhideWhenUsed/>
    <w:qFormat/>
    <w:pPr>
      <w:jc w:val="left"/>
      <w:outlineLvl w:val="3"/>
    </w:pPr>
    <w:rPr>
      <w:i/>
      <w:iCs/>
    </w:rPr>
  </w:style>
  <w:style w:type="paragraph" w:styleId="Kop5">
    <w:name w:val="heading 5"/>
    <w:basedOn w:val="Kop4"/>
    <w:next w:val="Standaard"/>
    <w:link w:val="Kop5Char"/>
    <w:uiPriority w:val="4"/>
    <w:unhideWhenUsed/>
    <w:qFormat/>
    <w:pPr>
      <w:outlineLvl w:val="4"/>
    </w:pPr>
    <w:rPr>
      <w:i w:val="0"/>
      <w:iCs w:val="0"/>
    </w:rPr>
  </w:style>
  <w:style w:type="paragraph" w:styleId="Kop6">
    <w:name w:val="heading 6"/>
    <w:basedOn w:val="Standaard"/>
    <w:next w:val="Standaard"/>
    <w:link w:val="Kop6Char"/>
    <w:uiPriority w:val="5"/>
    <w:semiHidden/>
    <w:unhideWhenUsed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customStyle="1" w:styleId="Turabian">
    <w:name w:val="Turabian"/>
    <w:basedOn w:val="Standaard"/>
    <w:qFormat/>
    <w:pPr>
      <w:spacing w:after="0" w:line="360" w:lineRule="auto"/>
      <w:ind w:firstLine="709"/>
    </w:pPr>
  </w:style>
  <w:style w:type="character" w:customStyle="1" w:styleId="Kop1Char">
    <w:name w:val="Kop 1 Char"/>
    <w:basedOn w:val="Standaardalinea-lettertype"/>
    <w:link w:val="Kop1"/>
    <w:uiPriority w:val="2"/>
    <w:rPr>
      <w:rFonts w:eastAsiaTheme="majorEastAsia" w:cstheme="majorBidi"/>
      <w:bCs w:val="0"/>
      <w:color w:val="000000" w:themeColor="text1"/>
      <w:sz w:val="32"/>
      <w:szCs w:val="32"/>
    </w:rPr>
  </w:style>
  <w:style w:type="character" w:customStyle="1" w:styleId="Kop2Char">
    <w:name w:val="Kop 2 Char"/>
    <w:basedOn w:val="Standaardalinea-lettertype"/>
    <w:link w:val="Kop2"/>
    <w:uiPriority w:val="3"/>
    <w:rPr>
      <w:rFonts w:eastAsiaTheme="majorEastAsia" w:cstheme="majorBidi"/>
      <w:bCs w:val="0"/>
      <w:i/>
      <w:iCs/>
      <w:color w:val="000000" w:themeColor="text1"/>
      <w:lang w:val="en-GB"/>
    </w:rPr>
  </w:style>
  <w:style w:type="paragraph" w:styleId="Titel">
    <w:name w:val="Title"/>
    <w:basedOn w:val="Standaard"/>
    <w:next w:val="Standaard"/>
    <w:link w:val="TitelChar"/>
    <w:uiPriority w:val="10"/>
    <w:pPr>
      <w:spacing w:after="0" w:line="240" w:lineRule="auto"/>
      <w:contextualSpacing/>
      <w:jc w:val="center"/>
    </w:pPr>
    <w:rPr>
      <w:rFonts w:eastAsiaTheme="majorEastAsia"/>
      <w:b/>
      <w:bCs/>
      <w:spacing w:val="-10"/>
      <w:kern w:val="28"/>
      <w:sz w:val="52"/>
      <w:szCs w:val="52"/>
    </w:rPr>
  </w:style>
  <w:style w:type="character" w:customStyle="1" w:styleId="TitelChar">
    <w:name w:val="Titel Char"/>
    <w:basedOn w:val="Standaardalinea-lettertype"/>
    <w:link w:val="Titel"/>
    <w:uiPriority w:val="10"/>
    <w:rPr>
      <w:rFonts w:eastAsiaTheme="majorEastAsia"/>
      <w:b/>
      <w:spacing w:val="-10"/>
      <w:kern w:val="28"/>
      <w:sz w:val="52"/>
      <w:szCs w:val="52"/>
    </w:rPr>
  </w:style>
  <w:style w:type="character" w:customStyle="1" w:styleId="Kop3Char">
    <w:name w:val="Kop 3 Char"/>
    <w:basedOn w:val="Standaardalinea-lettertype"/>
    <w:link w:val="Kop3"/>
    <w:uiPriority w:val="4"/>
    <w:rPr>
      <w:rFonts w:eastAsiaTheme="majorEastAsia" w:cstheme="majorBidi"/>
      <w:bCs w:val="0"/>
      <w:lang w:val="en-GB"/>
    </w:rPr>
  </w:style>
  <w:style w:type="paragraph" w:styleId="Inhopg1">
    <w:name w:val="toc 1"/>
    <w:aliases w:val="Tur. Inhoudsopg"/>
    <w:basedOn w:val="Standaard"/>
    <w:next w:val="Standaard"/>
    <w:uiPriority w:val="39"/>
    <w:unhideWhenUsed/>
    <w:qFormat/>
    <w:pPr>
      <w:spacing w:before="240" w:after="0" w:line="360" w:lineRule="auto"/>
    </w:pPr>
  </w:style>
  <w:style w:type="paragraph" w:styleId="Voetnoottekst">
    <w:name w:val="footnote text"/>
    <w:basedOn w:val="Standaard"/>
    <w:link w:val="VoetnoottekstChar"/>
    <w:autoRedefine/>
    <w:uiPriority w:val="99"/>
    <w:semiHidden/>
    <w:unhideWhenUsed/>
    <w:pPr>
      <w:spacing w:after="240" w:line="240" w:lineRule="auto"/>
      <w:ind w:firstLine="709"/>
    </w:pPr>
    <w:rPr>
      <w:sz w:val="20"/>
      <w:szCs w:val="20"/>
    </w:rPr>
  </w:style>
  <w:style w:type="character" w:customStyle="1" w:styleId="VoetnoottekstChar">
    <w:name w:val="Voetnoottekst Char"/>
    <w:basedOn w:val="Standaardalinea-lettertype"/>
    <w:link w:val="Voetnoottekst"/>
    <w:uiPriority w:val="99"/>
    <w:semiHidden/>
    <w:rPr>
      <w:bCs w:val="0"/>
      <w:sz w:val="20"/>
      <w:szCs w:val="20"/>
    </w:rPr>
  </w:style>
  <w:style w:type="paragraph" w:styleId="Kopvaninhoudsopgave">
    <w:name w:val="TOC Heading"/>
    <w:basedOn w:val="Kop1"/>
    <w:next w:val="Standaard"/>
    <w:uiPriority w:val="39"/>
    <w:unhideWhenUsed/>
    <w:qFormat/>
    <w:pPr>
      <w:pageBreakBefore w:val="0"/>
      <w:outlineLvl w:val="9"/>
    </w:pPr>
    <w:rPr>
      <w:color w:val="auto"/>
    </w:rPr>
  </w:style>
  <w:style w:type="paragraph" w:styleId="Bibliografie">
    <w:name w:val="Bibliography"/>
    <w:basedOn w:val="Standaard"/>
    <w:uiPriority w:val="37"/>
    <w:unhideWhenUsed/>
    <w:qFormat/>
    <w:pPr>
      <w:spacing w:after="240" w:line="240" w:lineRule="auto"/>
      <w:ind w:left="720" w:hanging="720"/>
    </w:pPr>
  </w:style>
  <w:style w:type="paragraph" w:customStyle="1" w:styleId="TurCitaat">
    <w:name w:val="Tur. Citaat"/>
    <w:basedOn w:val="Turabian"/>
    <w:next w:val="Turabian"/>
    <w:link w:val="TurCitaatChar"/>
    <w:uiPriority w:val="1"/>
    <w:qFormat/>
    <w:pPr>
      <w:spacing w:before="240" w:after="480" w:line="240" w:lineRule="auto"/>
      <w:ind w:left="567" w:firstLine="0"/>
    </w:pPr>
    <w:rPr>
      <w:szCs w:val="20"/>
    </w:rPr>
  </w:style>
  <w:style w:type="character" w:customStyle="1" w:styleId="TurCitaatChar">
    <w:name w:val="Tur. Citaat Char"/>
    <w:basedOn w:val="Standaardalinea-lettertype"/>
    <w:link w:val="TurCitaat"/>
    <w:uiPriority w:val="1"/>
    <w:rPr>
      <w:bCs w:val="0"/>
      <w:szCs w:val="20"/>
    </w:rPr>
  </w:style>
  <w:style w:type="paragraph" w:customStyle="1" w:styleId="TurVoetnoot">
    <w:name w:val="Tur. Voetnoot"/>
    <w:basedOn w:val="Standaard"/>
    <w:link w:val="TurVoetnootChar"/>
    <w:uiPriority w:val="7"/>
    <w:qFormat/>
    <w:pPr>
      <w:spacing w:after="240" w:line="240" w:lineRule="auto"/>
      <w:ind w:firstLine="709"/>
    </w:pPr>
    <w:rPr>
      <w:sz w:val="20"/>
      <w:szCs w:val="20"/>
      <w:lang w:val="en-GB"/>
    </w:rPr>
  </w:style>
  <w:style w:type="character" w:customStyle="1" w:styleId="TurVoetnootChar">
    <w:name w:val="Tur. Voetnoot Char"/>
    <w:basedOn w:val="Standaardalinea-lettertype"/>
    <w:link w:val="TurVoetnoot"/>
    <w:uiPriority w:val="7"/>
    <w:rPr>
      <w:bCs w:val="0"/>
      <w:sz w:val="20"/>
      <w:szCs w:val="20"/>
      <w:lang w:val="en-GB"/>
    </w:rPr>
  </w:style>
  <w:style w:type="paragraph" w:styleId="Inhopg2">
    <w:name w:val="toc 2"/>
    <w:basedOn w:val="Standaard"/>
    <w:next w:val="Standaard"/>
    <w:autoRedefine/>
    <w:uiPriority w:val="39"/>
    <w:unhideWhenUsed/>
    <w:pPr>
      <w:tabs>
        <w:tab w:val="right" w:leader="dot" w:pos="9062"/>
      </w:tabs>
      <w:spacing w:after="100"/>
      <w:ind w:left="240"/>
    </w:pPr>
  </w:style>
  <w:style w:type="paragraph" w:styleId="Voettekst">
    <w:name w:val="footer"/>
    <w:basedOn w:val="Standaard"/>
    <w:link w:val="VoettekstChar"/>
    <w:uiPriority w:val="99"/>
    <w:unhideWhenUsed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Pr>
      <w:bCs w:val="0"/>
    </w:rPr>
  </w:style>
  <w:style w:type="character" w:styleId="Voetnootmarkering">
    <w:name w:val="footnote reference"/>
    <w:basedOn w:val="Standaardalinea-lettertype"/>
    <w:uiPriority w:val="99"/>
    <w:unhideWhenUsed/>
    <w:rPr>
      <w:vertAlign w:val="superscript"/>
    </w:rPr>
  </w:style>
  <w:style w:type="character" w:styleId="Hyperlink">
    <w:name w:val="Hyperlink"/>
    <w:basedOn w:val="Standaardalinea-lettertype"/>
    <w:uiPriority w:val="99"/>
    <w:unhideWhenUsed/>
    <w:rPr>
      <w:color w:val="0563C1" w:themeColor="hyperlink"/>
      <w:u w:val="single"/>
    </w:rPr>
  </w:style>
  <w:style w:type="character" w:styleId="Onopgelostemelding">
    <w:name w:val="Unresolved Mention"/>
    <w:basedOn w:val="Standaardalinea-lettertype"/>
    <w:uiPriority w:val="99"/>
    <w:semiHidden/>
    <w:unhideWhenUsed/>
    <w:rPr>
      <w:color w:val="605E5C"/>
      <w:shd w:val="clear" w:color="auto" w:fill="E1DFDD"/>
    </w:rPr>
  </w:style>
  <w:style w:type="character" w:styleId="GevolgdeHyperlink">
    <w:name w:val="FollowedHyperlink"/>
    <w:basedOn w:val="Standaardalinea-lettertype"/>
    <w:uiPriority w:val="99"/>
    <w:semiHidden/>
    <w:unhideWhenUsed/>
    <w:rPr>
      <w:color w:val="954F72" w:themeColor="followedHyperlink"/>
      <w:u w:val="single"/>
    </w:rPr>
  </w:style>
  <w:style w:type="character" w:styleId="Verwijzingopmerking">
    <w:name w:val="annotation reference"/>
    <w:basedOn w:val="Standaardalinea-lettertype"/>
    <w:uiPriority w:val="99"/>
    <w:semiHidden/>
    <w:unhideWhenUsed/>
    <w:rPr>
      <w:sz w:val="16"/>
      <w:szCs w:val="16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pPr>
      <w:spacing w:line="240" w:lineRule="auto"/>
    </w:pPr>
    <w:rPr>
      <w:sz w:val="20"/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Pr>
      <w:bCs w:val="0"/>
      <w:sz w:val="20"/>
      <w:szCs w:val="20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Pr>
      <w:b/>
      <w:bCs/>
      <w:sz w:val="20"/>
      <w:szCs w:val="20"/>
    </w:rPr>
  </w:style>
  <w:style w:type="character" w:customStyle="1" w:styleId="Kop4Char">
    <w:name w:val="Kop 4 Char"/>
    <w:basedOn w:val="Standaardalinea-lettertype"/>
    <w:link w:val="Kop4"/>
    <w:uiPriority w:val="4"/>
    <w:rPr>
      <w:rFonts w:eastAsiaTheme="majorEastAsia" w:cstheme="majorBidi"/>
      <w:bCs w:val="0"/>
      <w:i/>
      <w:iCs/>
      <w:lang w:val="en-GB"/>
    </w:rPr>
  </w:style>
  <w:style w:type="character" w:customStyle="1" w:styleId="Kop5Char">
    <w:name w:val="Kop 5 Char"/>
    <w:basedOn w:val="Standaardalinea-lettertype"/>
    <w:link w:val="Kop5"/>
    <w:uiPriority w:val="4"/>
    <w:rPr>
      <w:rFonts w:eastAsiaTheme="majorEastAsia" w:cstheme="majorBidi"/>
      <w:bCs w:val="0"/>
      <w:lang w:val="en-GB"/>
    </w:rPr>
  </w:style>
  <w:style w:type="character" w:customStyle="1" w:styleId="Kop6Char">
    <w:name w:val="Kop 6 Char"/>
    <w:basedOn w:val="Standaardalinea-lettertype"/>
    <w:link w:val="Kop6"/>
    <w:uiPriority w:val="5"/>
    <w:semiHidden/>
    <w:rPr>
      <w:rFonts w:asciiTheme="majorHAnsi" w:eastAsiaTheme="majorEastAsia" w:hAnsiTheme="majorHAnsi" w:cstheme="majorBidi"/>
      <w:bCs w:val="0"/>
      <w:color w:val="1F3763" w:themeColor="accent1" w:themeShade="7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47670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39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7172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25372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40083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751676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811029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655640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153636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850341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166807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24482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44002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44677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521626898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8487734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48028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619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850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501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361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050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351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06431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81380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58656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7981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278894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386611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7857304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49114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10890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6608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818069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355810633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1918230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47441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086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2753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770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4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3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TURABIAN.XSL" StyleName="Turabian" Version="6"/>
</file>

<file path=customXml/itemProps1.xml><?xml version="1.0" encoding="utf-8"?>
<ds:datastoreItem xmlns:ds="http://schemas.openxmlformats.org/officeDocument/2006/customXml" ds:itemID="{6B30B29D-4472-4D4B-BAFA-3718F091CAE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3. Turabian Template.</Template>
  <TotalTime>5</TotalTime>
  <Pages>11</Pages>
  <Words>1685</Words>
  <Characters>9271</Characters>
  <Application>Microsoft Office Word</Application>
  <DocSecurity>0</DocSecurity>
  <Lines>77</Lines>
  <Paragraphs>21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10935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Eigenaar</dc:creator>
  <cp:keywords/>
  <dc:description/>
  <cp:lastModifiedBy>Eigenaar</cp:lastModifiedBy>
  <cp:revision>2</cp:revision>
  <dcterms:created xsi:type="dcterms:W3CDTF">2022-11-08T09:15:00Z</dcterms:created>
  <dcterms:modified xsi:type="dcterms:W3CDTF">2022-11-08T09:20:00Z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ZOTERO_PREF_1">
    <vt:lpwstr>&lt;data data-version="3" zotero-version="5.0.93m18"&gt;&lt;session id="jhaDFpEa"/&gt;&lt;style id="http://www.zotero.org/styles/turabian-9th-edition-full-note" hasBibliography="1" bibliographyStyleHasBeenSet="1"/&gt;&lt;prefs&gt;&lt;pref name="citationTransliteration" value=""/&gt;&lt;p</vt:lpwstr>
  </property>
  <property fmtid="{D5CDD505-2E9C-101B-9397-08002B2CF9AE}" pid="3" name="ZOTERO_PREF_2">
    <vt:lpwstr>ref name="citationTranslation" value=""/&gt;&lt;pref name="citationSort" value=""/&gt;&lt;pref name="citationLangPrefsPersons" value="orig"/&gt;&lt;pref name="citationLangPrefsInstitutions" value="orig"/&gt;&lt;pref name="citationLangPrefsTitles" value="orig"/&gt;&lt;pref name="citati</vt:lpwstr>
  </property>
  <property fmtid="{D5CDD505-2E9C-101B-9397-08002B2CF9AE}" pid="4" name="ZOTERO_PREF_3">
    <vt:lpwstr>onLangPrefsJournals" value="orig"/&gt;&lt;pref name="citationLangPrefsPublishers" value="orig"/&gt;&lt;pref name="citationLangPrefsPlaces" value="orig"/&gt;&lt;pref name="citationAffixes" value="|||||||||||||||||||||||||||||||||||||||||||||||"/&gt;&lt;pref name="extractingLibrar</vt:lpwstr>
  </property>
  <property fmtid="{D5CDD505-2E9C-101B-9397-08002B2CF9AE}" pid="5" name="ZOTERO_PREF_4">
    <vt:lpwstr>yName" value="No group selected"/&gt;&lt;pref name="fieldType" value="Field"/&gt;&lt;pref name="noteType" value="1"/&gt;&lt;/prefs&gt;&lt;/data&gt;</vt:lpwstr>
  </property>
</Properties>
</file>