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pStyle w:val="Titel"/>
        <w:rPr>
          <w:b w:val="0"/>
          <w:bCs w:val="0"/>
          <w:lang w:val="en-GB"/>
        </w:rPr>
      </w:pPr>
      <w:r>
        <w:rPr>
          <w:b w:val="0"/>
          <w:bCs w:val="0"/>
          <w:lang w:val="en-GB"/>
        </w:rPr>
        <w:t>Title</w:t>
      </w:r>
    </w:p>
    <w:p>
      <w:pPr>
        <w:jc w:val="center"/>
        <w:rPr>
          <w:iCs/>
          <w:sz w:val="26"/>
          <w:szCs w:val="26"/>
          <w:lang w:val="en-GB"/>
        </w:rPr>
      </w:pPr>
      <w:r>
        <w:rPr>
          <w:iCs/>
          <w:sz w:val="26"/>
          <w:szCs w:val="26"/>
          <w:lang w:val="en-GB"/>
        </w:rPr>
        <w:t>Subtitle</w:t>
      </w: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rPr>
          <w:lang w:val="en-GB"/>
        </w:rPr>
      </w:pPr>
    </w:p>
    <w:p>
      <w:pPr>
        <w:jc w:val="center"/>
        <w:rPr>
          <w:lang w:val="en-GB"/>
        </w:rPr>
      </w:pPr>
      <w:r>
        <w:rPr>
          <w:lang w:val="en-GB"/>
        </w:rPr>
        <w:t>name</w:t>
      </w:r>
    </w:p>
    <w:p>
      <w:pPr>
        <w:jc w:val="center"/>
        <w:rPr>
          <w:lang w:val="en-GB"/>
        </w:rPr>
      </w:pPr>
      <w:r>
        <w:rPr>
          <w:lang w:val="en-GB"/>
        </w:rPr>
        <w:t>department</w:t>
      </w:r>
    </w:p>
    <w:p>
      <w:pPr>
        <w:jc w:val="center"/>
        <w:rPr>
          <w:lang w:val="en-GB"/>
        </w:rPr>
        <w:sectPr>
          <w:headerReference w:type="default" r:id="rId8"/>
          <w:footerReference w:type="default" r:id="rId9"/>
          <w:footerReference w:type="first" r:id="rId10"/>
          <w:pgSz w:w="11906" w:h="16838"/>
          <w:pgMar w:top="1417" w:right="1417" w:bottom="1417" w:left="1417" w:header="708" w:footer="708" w:gutter="0"/>
          <w:pgNumType w:fmt="lowerRoman"/>
          <w:cols w:space="708"/>
          <w:titlePg/>
          <w:docGrid w:linePitch="360"/>
        </w:sectPr>
      </w:pPr>
      <w:r>
        <w:rPr>
          <w:lang w:val="en-GB"/>
        </w:rPr>
        <w:t>date</w:t>
      </w:r>
    </w:p>
    <w:sdt>
      <w:sdtPr>
        <w:rPr>
          <w:rFonts w:asciiTheme="minorHAnsi" w:eastAsiaTheme="minorHAnsi" w:hAnsiTheme="minorHAnsi" w:cs="Times New Roman"/>
          <w:b/>
          <w:sz w:val="24"/>
          <w:szCs w:val="24"/>
          <w:lang w:val="en-GB" w:eastAsia="nl-NL"/>
        </w:rPr>
        <w:id w:val="1571927677"/>
        <w:docPartObj>
          <w:docPartGallery w:val="Table of Contents"/>
          <w:docPartUnique/>
        </w:docPartObj>
      </w:sdtPr>
      <w:sdtEndPr>
        <w:rPr>
          <w:rFonts w:ascii="Times New Roman" w:hAnsi="Times New Roman"/>
          <w:b w:val="0"/>
          <w:lang w:eastAsia="en-US"/>
        </w:rPr>
      </w:sdtEndPr>
      <w:sdtContent>
        <w:p>
          <w:pPr>
            <w:pStyle w:val="Kopvaninhoudsopgave"/>
            <w:rPr>
              <w:lang w:val="en-GB"/>
            </w:rPr>
          </w:pPr>
          <w:r>
            <w:rPr>
              <w:lang w:val="en-GB"/>
            </w:rPr>
            <w:t>Contents</w:t>
          </w:r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r>
            <w:rPr>
              <w:lang w:val="en-GB"/>
            </w:rPr>
            <w:fldChar w:fldCharType="begin"/>
          </w:r>
          <w:r>
            <w:rPr>
              <w:lang w:val="en-GB"/>
            </w:rPr>
            <w:instrText xml:space="preserve"> TOC \o "1-2" \h \z \u </w:instrText>
          </w:r>
          <w:r>
            <w:rPr>
              <w:lang w:val="en-GB"/>
            </w:rPr>
            <w:fldChar w:fldCharType="separate"/>
          </w:r>
          <w:hyperlink w:anchor="_Toc115960422" w:history="1">
            <w:r>
              <w:rPr>
                <w:rStyle w:val="Hyperlink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3" w:history="1">
            <w:r>
              <w:rPr>
                <w:rStyle w:val="Hyperlink"/>
                <w:noProof/>
                <w:lang w:val="en-GB"/>
              </w:rPr>
              <w:t>1: Name of the Chapter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2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4" w:history="1">
            <w:r>
              <w:rPr>
                <w:rStyle w:val="Hyperlink"/>
                <w:noProof/>
              </w:rPr>
              <w:t>Paragraph Heading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2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5" w:history="1">
            <w:r>
              <w:rPr>
                <w:rStyle w:val="Hyperlink"/>
                <w:noProof/>
              </w:rPr>
              <w:t>Paragraph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2"/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6" w:history="1">
            <w:r>
              <w:rPr>
                <w:rStyle w:val="Hyperlink"/>
                <w:noProof/>
              </w:rPr>
              <w:t>Paragraph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7" w:history="1">
            <w:r>
              <w:rPr>
                <w:rStyle w:val="Hyperlink"/>
                <w:noProof/>
                <w:lang w:val="en-GB"/>
              </w:rPr>
              <w:t>2: Another Name of a Chapter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8" w:history="1">
            <w:r>
              <w:rPr>
                <w:rStyle w:val="Hyperlink"/>
                <w:noProof/>
                <w:lang w:val="en-GB"/>
              </w:rPr>
              <w:t>3: Third Name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29" w:history="1">
            <w:r>
              <w:rPr>
                <w:rStyle w:val="Hyperlink"/>
                <w:noProof/>
                <w:lang w:val="en-GB"/>
              </w:rPr>
              <w:t>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nl-NL" w:bidi="he-IL"/>
            </w:rPr>
          </w:pPr>
          <w:hyperlink w:anchor="_Toc115960430" w:history="1">
            <w:r>
              <w:rPr>
                <w:rStyle w:val="Hyperlink"/>
                <w:noProof/>
                <w:lang w:val="en-GB"/>
              </w:rPr>
              <w:t>Bibliography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_Toc115960430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>
          <w:pPr>
            <w:rPr>
              <w:b/>
              <w:lang w:val="en-GB"/>
            </w:rPr>
            <w:sectPr>
              <w:footerReference w:type="first" r:id="rId11"/>
              <w:pgSz w:w="11906" w:h="16838"/>
              <w:pgMar w:top="1417" w:right="1417" w:bottom="1417" w:left="1417" w:header="708" w:footer="708" w:gutter="0"/>
              <w:pgNumType w:fmt="lowerRoman"/>
              <w:cols w:space="708"/>
              <w:titlePg/>
              <w:docGrid w:linePitch="360"/>
            </w:sectPr>
          </w:pPr>
          <w:r>
            <w:rPr>
              <w:lang w:val="en-GB"/>
            </w:rPr>
            <w:fldChar w:fldCharType="end"/>
          </w:r>
        </w:p>
      </w:sdtContent>
    </w:sdt>
    <w:p>
      <w:pPr>
        <w:pStyle w:val="Kop1"/>
        <w:rPr>
          <w:lang w:val="en-GB"/>
        </w:rPr>
      </w:pPr>
      <w:bookmarkStart w:id="0" w:name="_Toc115960422"/>
      <w:r>
        <w:rPr>
          <w:lang w:val="en-GB"/>
        </w:rPr>
        <w:lastRenderedPageBreak/>
        <w:t>Introduction</w:t>
      </w:r>
      <w:bookmarkEnd w:id="0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  <w:sectPr>
          <w:headerReference w:type="default" r:id="rId12"/>
          <w:footerReference w:type="default" r:id="rId13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1" w:name="_Toc115960423"/>
      <w:r>
        <w:rPr>
          <w:lang w:val="en-GB"/>
        </w:rPr>
        <w:lastRenderedPageBreak/>
        <w:t>1: Name of the Chapter</w:t>
      </w:r>
      <w:bookmarkEnd w:id="1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  <w:r>
        <w:rPr>
          <w:rStyle w:val="Voetnootmarkering"/>
          <w:lang w:val="en-GB"/>
        </w:rPr>
        <w:footnoteReference w:id="1"/>
      </w:r>
    </w:p>
    <w:p>
      <w:pPr>
        <w:pStyle w:val="Kop2"/>
      </w:pPr>
      <w:bookmarkStart w:id="2" w:name="_Toc115960424"/>
      <w:r>
        <w:t>Paragraph Heading 1</w:t>
      </w:r>
      <w:bookmarkEnd w:id="2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Citaat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  <w:r>
        <w:rPr>
          <w:rStyle w:val="Voetnootmarkering"/>
        </w:rPr>
        <w:footnoteReference w:id="2"/>
      </w:r>
    </w:p>
    <w:p>
      <w:pPr>
        <w:pStyle w:val="Kop3"/>
      </w:pPr>
      <w:r>
        <w:t>Paragraph Heading 1.1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4"/>
      </w:pPr>
      <w:r>
        <w:t>Paragraph Heading 1.1.1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5"/>
      </w:pPr>
      <w:r>
        <w:lastRenderedPageBreak/>
        <w:t>Paragraph heading 1.1.1.1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2"/>
      </w:pPr>
      <w:bookmarkStart w:id="3" w:name="_Toc115960425"/>
      <w:r>
        <w:t>Paragraph 2</w:t>
      </w:r>
      <w:bookmarkEnd w:id="3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3"/>
      </w:pPr>
      <w:r>
        <w:t>Paragraph 2.1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4"/>
      </w:pPr>
      <w:r>
        <w:t>Paragraph Heading 2.1.1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2"/>
      </w:pPr>
      <w:bookmarkStart w:id="4" w:name="_Toc115960426"/>
      <w:r>
        <w:t>Paragraph 3</w:t>
      </w:r>
      <w:bookmarkEnd w:id="4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Kop3"/>
      </w:pPr>
      <w:r>
        <w:t>Paragraph 3.1</w:t>
      </w:r>
    </w:p>
    <w:p>
      <w:pPr>
        <w:pStyle w:val="Turabian"/>
        <w:rPr>
          <w:lang w:val="en-GB"/>
        </w:rPr>
      </w:pPr>
      <w:r>
        <w:rPr>
          <w:lang w:val="en-GB"/>
        </w:rPr>
        <w:t xml:space="preserve">Lorem ipsum dolor sit amet, consectetur adipiscing elit. Ut id pulvinar turpis. Etiam imperdiet sollicitudin dolor, a consequat dolor tempor vitae. Etiam augue dolor, volutpat a </w:t>
      </w:r>
      <w:r>
        <w:rPr>
          <w:lang w:val="en-GB"/>
        </w:rPr>
        <w:lastRenderedPageBreak/>
        <w:t>accumsan vitae, blandit ut nibh. Donec suscipit feugiat nunc in condimentum. Nulla sollicitudin urna nec arcu cursus et suscipit enim imperdiet.</w:t>
      </w:r>
    </w:p>
    <w:p>
      <w:pPr>
        <w:spacing w:after="0" w:line="360" w:lineRule="auto"/>
        <w:rPr>
          <w:lang w:val="en-GB"/>
        </w:rPr>
        <w:sectPr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5" w:name="_Toc115960427"/>
      <w:r>
        <w:rPr>
          <w:lang w:val="en-GB"/>
        </w:rPr>
        <w:lastRenderedPageBreak/>
        <w:t>2: Another Name of a Chapter</w:t>
      </w:r>
      <w:bookmarkEnd w:id="5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spacing w:after="0" w:line="360" w:lineRule="auto"/>
        <w:rPr>
          <w:lang w:val="en-GB"/>
        </w:rPr>
        <w:sectPr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6" w:name="_Toc115960428"/>
      <w:r>
        <w:rPr>
          <w:lang w:val="en-GB"/>
        </w:rPr>
        <w:lastRenderedPageBreak/>
        <w:t>3: Third Name</w:t>
      </w:r>
      <w:bookmarkEnd w:id="6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  <w:r>
        <w:rPr>
          <w:rStyle w:val="Voetnootmarkering"/>
          <w:lang w:val="en-GB"/>
        </w:rPr>
        <w:footnoteReference w:id="3"/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  <w:sectPr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7" w:name="_Toc115960429"/>
      <w:r>
        <w:rPr>
          <w:lang w:val="en-GB"/>
        </w:rPr>
        <w:lastRenderedPageBreak/>
        <w:t>Conclusion</w:t>
      </w:r>
      <w:bookmarkEnd w:id="7"/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  <w:r>
        <w:rPr>
          <w:rStyle w:val="Voetnootmarkering"/>
          <w:lang w:val="en-GB"/>
        </w:rPr>
        <w:footnoteReference w:id="4"/>
      </w:r>
      <w:r>
        <w:rPr>
          <w:lang w:val="en-GB"/>
        </w:rPr>
        <w:t xml:space="preserve">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</w:pPr>
      <w:r>
        <w:rPr>
          <w:lang w:val="en-GB"/>
        </w:rPr>
        <w:t>Lorem ipsum dolor sit amet, consectetur adipiscing elit. Ut id pulvinar turpis. Etiam imperdiet sollicitudin dolor, a consequat dolor tempor vitae. Etiam augue dolor, volutpat a accumsan vitae, blandit ut nibh. Donec suscipit feugiat nunc in condimentum. Nulla sollicitudin urna nec arcu cursus et suscipit enim imperdiet.</w:t>
      </w:r>
    </w:p>
    <w:p>
      <w:pPr>
        <w:pStyle w:val="Turabian"/>
        <w:rPr>
          <w:lang w:val="en-GB"/>
        </w:rPr>
        <w:sectPr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>
      <w:pPr>
        <w:pStyle w:val="Kop1"/>
        <w:rPr>
          <w:lang w:val="en-GB"/>
        </w:rPr>
      </w:pPr>
      <w:bookmarkStart w:id="8" w:name="_Toc115960430"/>
      <w:r>
        <w:rPr>
          <w:lang w:val="en-GB"/>
        </w:rPr>
        <w:lastRenderedPageBreak/>
        <w:t>Bibliography</w:t>
      </w:r>
      <w:bookmarkEnd w:id="8"/>
    </w:p>
    <w:p>
      <w:pPr>
        <w:pStyle w:val="Bibliografie"/>
        <w:rPr>
          <w:lang w:val="en-GB"/>
        </w:rPr>
      </w:pPr>
      <w:r>
        <w:rPr>
          <w:lang w:val="en-GB"/>
        </w:rPr>
        <w:t xml:space="preserve">Carlile, J.C. </w:t>
      </w:r>
      <w:r>
        <w:rPr>
          <w:i/>
          <w:iCs/>
          <w:lang w:val="en-GB"/>
        </w:rPr>
        <w:t>Charles Haddon Spurgeon: An Interpretative Biography</w:t>
      </w:r>
      <w:r>
        <w:rPr>
          <w:lang w:val="en-GB"/>
        </w:rPr>
        <w:t>. London: Religious Tract Society, 1933.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MacGregor, Kirk R. </w:t>
      </w:r>
      <w:r>
        <w:rPr>
          <w:i/>
          <w:iCs/>
          <w:lang w:val="en-GB"/>
        </w:rPr>
        <w:t>Contemporary Theology: An Introduction</w:t>
      </w:r>
      <w:r>
        <w:rPr>
          <w:lang w:val="en-GB"/>
        </w:rPr>
        <w:t>. Grand Rapids, MI: Zondervan, 2019.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Spurgeon, C.H. </w:t>
      </w:r>
      <w:r>
        <w:rPr>
          <w:i/>
          <w:iCs/>
          <w:lang w:val="en-GB"/>
        </w:rPr>
        <w:t>C.H. Spurgeon Autobiography</w:t>
      </w:r>
      <w:r>
        <w:rPr>
          <w:lang w:val="en-GB"/>
        </w:rPr>
        <w:t xml:space="preserve">. Vol. 1, </w:t>
      </w:r>
      <w:r>
        <w:rPr>
          <w:i/>
          <w:iCs/>
          <w:lang w:val="en-GB"/>
        </w:rPr>
        <w:t>The Early Years, 1834-1859: A revised edition of his autobiography originally compiled by his wife and private secretary</w:t>
      </w:r>
      <w:r>
        <w:rPr>
          <w:lang w:val="en-GB"/>
        </w:rPr>
        <w:t>. London: Banner of Truth Trust, 1962.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———. </w:t>
      </w:r>
      <w:r>
        <w:rPr>
          <w:i/>
          <w:iCs/>
          <w:lang w:val="en-GB"/>
        </w:rPr>
        <w:t>C.H. Spurgeon Autobiography</w:t>
      </w:r>
      <w:r>
        <w:rPr>
          <w:lang w:val="en-GB"/>
        </w:rPr>
        <w:t xml:space="preserve">. Vol. 2, </w:t>
      </w:r>
      <w:r>
        <w:rPr>
          <w:i/>
          <w:iCs/>
          <w:lang w:val="en-GB"/>
        </w:rPr>
        <w:t>The Full Harvest, 1860-1892: A revised edition, originally compiled by Susannah Spurgeon and Joseph Harreld</w:t>
      </w:r>
      <w:r>
        <w:rPr>
          <w:lang w:val="en-GB"/>
        </w:rPr>
        <w:t>. 1973. Reprint, London: Banner of Truth Trust, 1987.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Spurgeon, Charles. </w:t>
      </w:r>
      <w:r>
        <w:rPr>
          <w:i/>
          <w:iCs/>
          <w:lang w:val="en-GB"/>
        </w:rPr>
        <w:t>All of Grace: An Earnest Word with Those Who Are Seeking Salvation by the Lord Jesus Christ</w:t>
      </w:r>
      <w:r>
        <w:rPr>
          <w:lang w:val="en-GB"/>
        </w:rPr>
        <w:t>. Grand Rapids, MI: Christian Classics Ethereal Library, n.d. https://ccel.org/ccel/s/spurgeon/grace/cache/grace.pdf.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———. </w:t>
      </w:r>
      <w:r>
        <w:rPr>
          <w:i/>
          <w:iCs/>
          <w:lang w:val="en-GB"/>
        </w:rPr>
        <w:t>The Down Grade Controversy</w:t>
      </w:r>
      <w:r>
        <w:rPr>
          <w:lang w:val="en-GB"/>
        </w:rPr>
        <w:t>. Pasadena, TX: Pilgrim Publications, n.d. https://www.grace-ebooks.com/library/Charles%20Spurgeon/CHS_Downgrade%20Contoversy%2C%20The.PDF.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Spurgeon, Charles Haddon. </w:t>
      </w:r>
      <w:r>
        <w:rPr>
          <w:i/>
          <w:iCs/>
          <w:lang w:val="en-GB"/>
        </w:rPr>
        <w:t>Metropolitian Tabernacle Pulpit</w:t>
      </w:r>
      <w:r>
        <w:rPr>
          <w:lang w:val="en-GB"/>
        </w:rPr>
        <w:t>. 63 vols. London: Banner of Truth Trust, 1855–1917. https://www.spurgeongems.org/spurgeon-sermons/.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———. </w:t>
      </w:r>
      <w:r>
        <w:rPr>
          <w:i/>
          <w:iCs/>
          <w:lang w:val="en-GB"/>
        </w:rPr>
        <w:t>The Sword and the Trowel</w:t>
      </w:r>
      <w:r>
        <w:rPr>
          <w:lang w:val="en-GB"/>
        </w:rPr>
        <w:t>. London: Passmore &amp; Alabaster, 1865–1892. https://www.spurgeon.org/collection/the-sword-and-the-trowel/.</w:t>
      </w:r>
    </w:p>
    <w:p>
      <w:pPr>
        <w:pStyle w:val="Bibliografie"/>
        <w:rPr>
          <w:lang w:val="en-GB"/>
        </w:rPr>
      </w:pPr>
      <w:r>
        <w:rPr>
          <w:lang w:val="en-GB"/>
        </w:rPr>
        <w:t xml:space="preserve">———. </w:t>
      </w:r>
      <w:r>
        <w:rPr>
          <w:i/>
          <w:iCs/>
          <w:lang w:val="en-GB"/>
        </w:rPr>
        <w:t>“Till He Come”: Communion Meditations and Addresses</w:t>
      </w:r>
      <w:r>
        <w:rPr>
          <w:lang w:val="en-GB"/>
        </w:rPr>
        <w:t>. London: Passmore &amp; Alabaster, 1896.</w:t>
      </w:r>
    </w:p>
    <w:p>
      <w:pPr>
        <w:pStyle w:val="Bibliografie"/>
        <w:rPr>
          <w:lang w:val="en-GB"/>
        </w:rPr>
      </w:pP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August Burns Red. “Existence.” On </w:t>
      </w:r>
      <w:r>
        <w:rPr>
          <w:i/>
          <w:lang w:val="en-GB"/>
        </w:rPr>
        <w:t xml:space="preserve">Constellations. </w:t>
      </w:r>
      <w:r>
        <w:rPr>
          <w:lang w:val="en-GB"/>
        </w:rPr>
        <w:t>Solid State Records. HOFF07CDA. CD. 2009.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Berkhof, Hendrikus. </w:t>
      </w:r>
      <w:r>
        <w:rPr>
          <w:i/>
          <w:lang w:val="en-GB"/>
        </w:rPr>
        <w:t>Christian Faith: An introduction to the Study of Faith.</w:t>
      </w:r>
      <w:r>
        <w:rPr>
          <w:lang w:val="en-GB"/>
        </w:rPr>
        <w:t xml:space="preserve"> Translated by Sierd Woudstra. Grand Rapids, MI: William B. Eerdmans, 1979. 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Brooks, James A. </w:t>
      </w:r>
      <w:r>
        <w:rPr>
          <w:i/>
          <w:lang w:val="en-GB"/>
        </w:rPr>
        <w:t>Mark.</w:t>
      </w:r>
      <w:r>
        <w:rPr>
          <w:lang w:val="en-GB"/>
        </w:rPr>
        <w:t xml:space="preserve"> NAC. Nashville, TN: Broadman, 1991.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>Cassell, Bo. “The Dirty Little Secret about Mission Trips.” YouthMinistry.com, http://www.youthministry.com/?q=node/5412 (accessed December 4, 2009).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Kierkegaard, Søren. “Truth Is Subjective.” In </w:t>
      </w:r>
      <w:r>
        <w:rPr>
          <w:i/>
          <w:lang w:val="en-GB"/>
        </w:rPr>
        <w:t xml:space="preserve">Philosophy of Religion: Selected Readings. </w:t>
      </w:r>
      <w:r>
        <w:rPr>
          <w:lang w:val="en-GB"/>
        </w:rPr>
        <w:t xml:space="preserve">Edited by Michael Peterson, William Hasker, Bruce Reichenbach, and David </w:t>
      </w:r>
      <w:r>
        <w:rPr>
          <w:lang w:val="en-GB"/>
        </w:rPr>
        <w:lastRenderedPageBreak/>
        <w:t>Basinger. Translated by David Swenson. 3rd ed., 118-22. 1941. Renewed 1969. Reprint, New York: Oxford University Press, 2007.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Lewis, C. S. “Mere Christianity.” In </w:t>
      </w:r>
      <w:r>
        <w:rPr>
          <w:i/>
          <w:lang w:val="en-GB"/>
        </w:rPr>
        <w:t>Mere Christianity</w:t>
      </w:r>
      <w:r>
        <w:rPr>
          <w:lang w:val="en-GB"/>
        </w:rPr>
        <w:t xml:space="preserve"> and </w:t>
      </w:r>
      <w:r>
        <w:rPr>
          <w:i/>
          <w:lang w:val="en-GB"/>
        </w:rPr>
        <w:t xml:space="preserve">The Screwtape Letters: Complete in One Volume, </w:t>
      </w:r>
      <w:r>
        <w:rPr>
          <w:lang w:val="en-GB"/>
        </w:rPr>
        <w:t>iii-227. 1952; New York: HarperCollins, 2003.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Moloney, Francis J. </w:t>
      </w:r>
      <w:r>
        <w:rPr>
          <w:i/>
          <w:lang w:val="en-GB"/>
        </w:rPr>
        <w:t>The Gospel of Mark: A Commentary.</w:t>
      </w:r>
      <w:r>
        <w:rPr>
          <w:lang w:val="en-GB"/>
        </w:rPr>
        <w:t xml:space="preserve"> Peabody, MA: Hendrickson, 2002.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Oden, Thomas C., and Christopher A. Hall, eds. </w:t>
      </w:r>
      <w:r>
        <w:rPr>
          <w:i/>
          <w:lang w:val="en-GB"/>
        </w:rPr>
        <w:t>Mark.</w:t>
      </w:r>
      <w:r>
        <w:rPr>
          <w:lang w:val="en-GB"/>
        </w:rPr>
        <w:t xml:space="preserve"> Ancient Christian Commentary on Scripture: New Testament II. Downers Grove, IL: InterVarsity, 1998.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Palomino, Miguel Ángel. “‘If Everything Is Mission, Nothing Is Mission’: Reflections on Short-Term Missions.” </w:t>
      </w:r>
      <w:r>
        <w:rPr>
          <w:i/>
          <w:lang w:val="en-GB"/>
        </w:rPr>
        <w:t>Journal of Latin American Theology</w:t>
      </w:r>
      <w:r>
        <w:rPr>
          <w:lang w:val="en-GB"/>
        </w:rPr>
        <w:t xml:space="preserve"> 2, no. 2 (2007): 208-226. 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>Smith, James K. A. The Fall of Interpretation: Philosophical Foundations for a Creational Hermeneutic. Downers Grove, IL: InterVarsity, 2000.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>———. Review of The Next Reformation: Why Evangelicals Must Embrace Postmodernity, by Carl Raschke. Pneuma 27, no. 2 (2005): 404-6.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Tannehill, Robert C. “The Disciples in Mark: The Function of a Narrative Role.” </w:t>
      </w:r>
      <w:r>
        <w:rPr>
          <w:i/>
          <w:lang w:val="en-GB"/>
        </w:rPr>
        <w:t xml:space="preserve">JR </w:t>
      </w:r>
      <w:r>
        <w:rPr>
          <w:lang w:val="en-GB"/>
        </w:rPr>
        <w:t>57 (1977): 386-405.</w:t>
      </w:r>
    </w:p>
    <w:p>
      <w:pPr>
        <w:pStyle w:val="Bibliografie"/>
        <w:ind w:left="709" w:hanging="709"/>
        <w:rPr>
          <w:lang w:val="en-GB"/>
        </w:rPr>
      </w:pPr>
      <w:r>
        <w:rPr>
          <w:lang w:val="en-GB"/>
        </w:rPr>
        <w:t xml:space="preserve">Towner, Philip H. “Household and Household Codes.” In </w:t>
      </w:r>
      <w:r>
        <w:rPr>
          <w:i/>
          <w:lang w:val="en-GB"/>
        </w:rPr>
        <w:t>Dictionary of Paul and His Letters.</w:t>
      </w:r>
      <w:r>
        <w:rPr>
          <w:lang w:val="en-GB"/>
        </w:rPr>
        <w:t xml:space="preserve"> Edited by Gerald F. Hawthorne, Ralph P. Martin, and Daniel G. Reid, 417-23. Downers Grove, IL: InterVarsity, 1993.</w:t>
      </w:r>
    </w:p>
    <w:p>
      <w:pPr>
        <w:pStyle w:val="Bibliografie"/>
        <w:ind w:left="709" w:hanging="709"/>
      </w:pPr>
      <w:r>
        <w:rPr>
          <w:lang w:val="en-GB"/>
        </w:rPr>
        <w:t xml:space="preserve">Vanhoozer, Kevin J. “The Voice and the Actor: A Dramatic Proposal about the Ministry and Minstrelsy of Theology.” In </w:t>
      </w:r>
      <w:r>
        <w:rPr>
          <w:i/>
          <w:lang w:val="en-GB"/>
        </w:rPr>
        <w:t xml:space="preserve">Evangelical Futures: A Conversation on Theological Method. </w:t>
      </w:r>
      <w:r>
        <w:rPr>
          <w:lang w:val="en-GB"/>
        </w:rPr>
        <w:t xml:space="preserve">Edited by John G. Stackhouse Jr., 61-106. </w:t>
      </w:r>
      <w:r>
        <w:t>Grand Rapids, MI: Baker Books, 2000.</w:t>
      </w:r>
    </w:p>
    <w:p>
      <w:pPr>
        <w:pStyle w:val="Turabian"/>
        <w:rPr>
          <w:lang w:val="en-GB"/>
        </w:rPr>
      </w:pPr>
    </w:p>
    <w:sectPr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94619304"/>
      <w:docPartObj>
        <w:docPartGallery w:val="Page Numbers (Bottom of Page)"/>
        <w:docPartUnique/>
      </w:docPartObj>
    </w:sdtPr>
    <w:sdtContent>
      <w:p>
        <w:pPr>
          <w:pStyle w:val="Voettekst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Voettekst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575701000"/>
      <w:docPartObj>
        <w:docPartGallery w:val="Page Numbers (Bottom of Page)"/>
        <w:docPartUnique/>
      </w:docPartObj>
    </w:sdtPr>
    <w:sdtContent>
      <w:p>
        <w:pPr>
          <w:pStyle w:val="Voettekst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>
    <w:pPr>
      <w:pStyle w:val="Voettekst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  <w:footnote w:id="1">
    <w:p>
      <w:pPr>
        <w:pStyle w:val="Voetnoottekst"/>
        <w:rPr>
          <w:lang w:val="en-GB"/>
        </w:rPr>
      </w:pPr>
      <w:r>
        <w:rPr>
          <w:rStyle w:val="Voetnootmarkering"/>
        </w:rPr>
        <w:footnoteRef/>
      </w:r>
      <w:r>
        <w:rPr>
          <w:lang w:val="en-GB"/>
        </w:rPr>
        <w:t xml:space="preserve"> </w:t>
      </w:r>
      <w:r>
        <w:rPr>
          <w:szCs w:val="24"/>
          <w:lang w:val="en-GB"/>
        </w:rPr>
        <w:t xml:space="preserve">C.H. Spurgeon, </w:t>
      </w:r>
      <w:r>
        <w:rPr>
          <w:i/>
          <w:iCs/>
          <w:szCs w:val="24"/>
          <w:lang w:val="en-GB"/>
        </w:rPr>
        <w:t>C.H. Spurgeon Autobiography</w:t>
      </w:r>
      <w:r>
        <w:rPr>
          <w:szCs w:val="24"/>
          <w:lang w:val="en-GB"/>
        </w:rPr>
        <w:t xml:space="preserve">, vol. 1, </w:t>
      </w:r>
      <w:r>
        <w:rPr>
          <w:i/>
          <w:iCs/>
          <w:szCs w:val="24"/>
          <w:lang w:val="en-GB"/>
        </w:rPr>
        <w:t>The Early Years, 1834-1859: A revised edition of his autobiography originally compiled by his wife and private secretary</w:t>
      </w:r>
      <w:r>
        <w:rPr>
          <w:szCs w:val="24"/>
          <w:lang w:val="en-GB"/>
        </w:rPr>
        <w:t xml:space="preserve"> (London: Banner of Truth Trust, 1962), xviii, 2.</w:t>
      </w:r>
    </w:p>
  </w:footnote>
  <w:footnote w:id="2">
    <w:p>
      <w:pPr>
        <w:pStyle w:val="Voetnoottekst"/>
        <w:rPr>
          <w:lang w:val="en-GB"/>
        </w:rPr>
      </w:pPr>
      <w:r>
        <w:rPr>
          <w:rStyle w:val="Voetnootmarkering"/>
        </w:rPr>
        <w:footnoteRef/>
      </w:r>
      <w:r>
        <w:rPr>
          <w:lang w:val="en-GB"/>
        </w:rPr>
        <w:t xml:space="preserve"> Spurgeon, 1:34.</w:t>
      </w:r>
    </w:p>
  </w:footnote>
  <w:footnote w:id="3">
    <w:p>
      <w:pPr>
        <w:pStyle w:val="Voetnoottekst"/>
        <w:rPr>
          <w:lang w:val="en-GB"/>
        </w:rPr>
      </w:pPr>
      <w:r>
        <w:rPr>
          <w:rStyle w:val="Voetnootmarkering"/>
        </w:rPr>
        <w:footnoteRef/>
      </w:r>
      <w:r>
        <w:rPr>
          <w:lang w:val="en-GB"/>
        </w:rPr>
        <w:t xml:space="preserve"> </w:t>
      </w:r>
      <w:r>
        <w:rPr>
          <w:szCs w:val="24"/>
          <w:lang w:val="en-GB"/>
        </w:rPr>
        <w:t xml:space="preserve">MacGregor, </w:t>
      </w:r>
      <w:r>
        <w:rPr>
          <w:i/>
          <w:iCs/>
          <w:szCs w:val="24"/>
          <w:lang w:val="en-GB"/>
        </w:rPr>
        <w:t>Contemporary Theology</w:t>
      </w:r>
      <w:r>
        <w:rPr>
          <w:szCs w:val="24"/>
          <w:lang w:val="en-GB"/>
        </w:rPr>
        <w:t>, 75.</w:t>
      </w:r>
    </w:p>
  </w:footnote>
  <w:footnote w:id="4">
    <w:p>
      <w:pPr>
        <w:pStyle w:val="Voetnoottekst"/>
        <w:rPr>
          <w:lang w:val="en-GB"/>
        </w:rPr>
      </w:pPr>
      <w:r>
        <w:rPr>
          <w:rStyle w:val="Voetnootmarkering"/>
        </w:rPr>
        <w:footnoteRef/>
      </w:r>
      <w:r>
        <w:rPr>
          <w:lang w:val="en-GB"/>
        </w:rPr>
        <w:t xml:space="preserve"> </w:t>
      </w:r>
      <w:r>
        <w:rPr>
          <w:szCs w:val="24"/>
          <w:lang w:val="en-GB"/>
        </w:rPr>
        <w:t xml:space="preserve">Spurgeon, </w:t>
      </w:r>
      <w:r>
        <w:rPr>
          <w:i/>
          <w:iCs/>
          <w:szCs w:val="24"/>
          <w:lang w:val="en-GB"/>
        </w:rPr>
        <w:t>Metropolitian Tabernacle Pulpit</w:t>
      </w:r>
      <w:r>
        <w:rPr>
          <w:szCs w:val="24"/>
          <w:lang w:val="en-GB"/>
        </w:rPr>
        <w:t>, vol. 17 (London: Banner of Truth Trust, 1871), chap. 979, 2;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00681337"/>
      <w:docPartObj>
        <w:docPartGallery w:val="Page Numbers (Top of Page)"/>
        <w:docPartUnique/>
      </w:docPartObj>
    </w:sdtPr>
    <w:sdtContent>
      <w:p>
        <w:pPr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13741853"/>
      <w:docPartObj>
        <w:docPartGallery w:val="Page Numbers (Top of Page)"/>
        <w:docPartUnique/>
      </w:docPartObj>
    </w:sdtPr>
    <w:sdtContent>
      <w:p>
        <w:pPr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E4C90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EC85ED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B74C4E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A0A2D9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430642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A065D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4E6342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50263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DCA36E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3C8F6F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165827500">
    <w:abstractNumId w:val="9"/>
  </w:num>
  <w:num w:numId="2" w16cid:durableId="1749308073">
    <w:abstractNumId w:val="7"/>
  </w:num>
  <w:num w:numId="3" w16cid:durableId="406197415">
    <w:abstractNumId w:val="6"/>
  </w:num>
  <w:num w:numId="4" w16cid:durableId="1473596614">
    <w:abstractNumId w:val="5"/>
  </w:num>
  <w:num w:numId="5" w16cid:durableId="2009943839">
    <w:abstractNumId w:val="4"/>
  </w:num>
  <w:num w:numId="6" w16cid:durableId="1230072112">
    <w:abstractNumId w:val="8"/>
  </w:num>
  <w:num w:numId="7" w16cid:durableId="1049844426">
    <w:abstractNumId w:val="3"/>
  </w:num>
  <w:num w:numId="8" w16cid:durableId="2131705502">
    <w:abstractNumId w:val="2"/>
  </w:num>
  <w:num w:numId="9" w16cid:durableId="478695440">
    <w:abstractNumId w:val="1"/>
  </w:num>
  <w:num w:numId="10" w16cid:durableId="11712166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bCs/>
        <w:sz w:val="24"/>
        <w:szCs w:val="24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6" w:qFormat="1"/>
    <w:lsdException w:name="heading 2" w:semiHidden="1" w:uiPriority="7" w:unhideWhenUsed="1" w:qFormat="1"/>
    <w:lsdException w:name="heading 3" w:semiHidden="1" w:uiPriority="8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6" w:unhideWhenUsed="1"/>
    <w:lsdException w:name="heading 8" w:semiHidden="1" w:uiPriority="6" w:unhideWhenUsed="1"/>
    <w:lsdException w:name="heading 9" w:semiHidden="1" w:uiPriority="6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3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 w:qFormat="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bCs w:val="0"/>
    </w:rPr>
  </w:style>
  <w:style w:type="paragraph" w:styleId="Kop1">
    <w:name w:val="heading 1"/>
    <w:basedOn w:val="Standaard"/>
    <w:next w:val="Turabian"/>
    <w:link w:val="Kop1Char"/>
    <w:uiPriority w:val="2"/>
    <w:qFormat/>
    <w:pPr>
      <w:keepNext/>
      <w:keepLines/>
      <w:pageBreakBefore/>
      <w:spacing w:before="240" w:after="480" w:line="360" w:lineRule="auto"/>
      <w:jc w:val="center"/>
      <w:outlineLvl w:val="0"/>
    </w:pPr>
    <w:rPr>
      <w:rFonts w:eastAsiaTheme="majorEastAsia" w:cstheme="majorBidi"/>
      <w:color w:val="000000" w:themeColor="text1"/>
      <w:sz w:val="32"/>
      <w:szCs w:val="32"/>
    </w:rPr>
  </w:style>
  <w:style w:type="paragraph" w:styleId="Kop2">
    <w:name w:val="heading 2"/>
    <w:basedOn w:val="Standaard"/>
    <w:next w:val="Turabian"/>
    <w:link w:val="Kop2Char"/>
    <w:uiPriority w:val="3"/>
    <w:unhideWhenUsed/>
    <w:qFormat/>
    <w:pPr>
      <w:keepNext/>
      <w:keepLines/>
      <w:spacing w:before="480" w:after="0" w:line="360" w:lineRule="auto"/>
      <w:jc w:val="center"/>
      <w:outlineLvl w:val="1"/>
    </w:pPr>
    <w:rPr>
      <w:rFonts w:eastAsiaTheme="majorEastAsia" w:cstheme="majorBidi"/>
      <w:i/>
      <w:iCs/>
      <w:color w:val="000000" w:themeColor="text1"/>
      <w:lang w:val="en-GB"/>
    </w:rPr>
  </w:style>
  <w:style w:type="paragraph" w:styleId="Kop3">
    <w:name w:val="heading 3"/>
    <w:basedOn w:val="Standaard"/>
    <w:next w:val="Turabian"/>
    <w:link w:val="Kop3Char"/>
    <w:uiPriority w:val="4"/>
    <w:unhideWhenUsed/>
    <w:qFormat/>
    <w:pPr>
      <w:keepNext/>
      <w:keepLines/>
      <w:spacing w:before="480" w:after="0" w:line="360" w:lineRule="auto"/>
      <w:jc w:val="center"/>
      <w:outlineLvl w:val="2"/>
    </w:pPr>
    <w:rPr>
      <w:rFonts w:eastAsiaTheme="majorEastAsia" w:cstheme="majorBidi"/>
      <w:lang w:val="en-GB"/>
    </w:rPr>
  </w:style>
  <w:style w:type="paragraph" w:styleId="Kop4">
    <w:name w:val="heading 4"/>
    <w:basedOn w:val="Kop3"/>
    <w:next w:val="Standaard"/>
    <w:link w:val="Kop4Char"/>
    <w:uiPriority w:val="4"/>
    <w:unhideWhenUsed/>
    <w:qFormat/>
    <w:pPr>
      <w:jc w:val="left"/>
      <w:outlineLvl w:val="3"/>
    </w:pPr>
    <w:rPr>
      <w:i/>
      <w:iCs/>
    </w:rPr>
  </w:style>
  <w:style w:type="paragraph" w:styleId="Kop5">
    <w:name w:val="heading 5"/>
    <w:basedOn w:val="Kop4"/>
    <w:next w:val="Standaard"/>
    <w:link w:val="Kop5Char"/>
    <w:uiPriority w:val="4"/>
    <w:unhideWhenUsed/>
    <w:qFormat/>
    <w:pPr>
      <w:outlineLvl w:val="4"/>
    </w:pPr>
    <w:rPr>
      <w:i w:val="0"/>
      <w:iCs w:val="0"/>
    </w:rPr>
  </w:style>
  <w:style w:type="paragraph" w:styleId="Kop6">
    <w:name w:val="heading 6"/>
    <w:basedOn w:val="Standaard"/>
    <w:next w:val="Standaard"/>
    <w:link w:val="Kop6Char"/>
    <w:uiPriority w:val="5"/>
    <w:semiHidden/>
    <w:unhideWhenUsed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Turabian">
    <w:name w:val="Turabian"/>
    <w:basedOn w:val="Standaard"/>
    <w:qFormat/>
    <w:pPr>
      <w:spacing w:after="0" w:line="360" w:lineRule="auto"/>
      <w:ind w:firstLine="709"/>
    </w:pPr>
  </w:style>
  <w:style w:type="character" w:customStyle="1" w:styleId="Kop1Char">
    <w:name w:val="Kop 1 Char"/>
    <w:basedOn w:val="Standaardalinea-lettertype"/>
    <w:link w:val="Kop1"/>
    <w:uiPriority w:val="2"/>
    <w:rPr>
      <w:rFonts w:eastAsiaTheme="majorEastAsia" w:cstheme="majorBidi"/>
      <w:bCs w:val="0"/>
      <w:color w:val="000000" w:themeColor="text1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3"/>
    <w:rPr>
      <w:rFonts w:eastAsiaTheme="majorEastAsia" w:cstheme="majorBidi"/>
      <w:bCs w:val="0"/>
      <w:i/>
      <w:iCs/>
      <w:color w:val="000000" w:themeColor="text1"/>
      <w:lang w:val="en-GB"/>
    </w:rPr>
  </w:style>
  <w:style w:type="paragraph" w:styleId="Titel">
    <w:name w:val="Title"/>
    <w:basedOn w:val="Standaard"/>
    <w:next w:val="Standaard"/>
    <w:link w:val="TitelChar"/>
    <w:uiPriority w:val="10"/>
    <w:pPr>
      <w:spacing w:after="0" w:line="240" w:lineRule="auto"/>
      <w:contextualSpacing/>
      <w:jc w:val="center"/>
    </w:pPr>
    <w:rPr>
      <w:rFonts w:eastAsiaTheme="majorEastAsia"/>
      <w:b/>
      <w:bCs/>
      <w:spacing w:val="-10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Pr>
      <w:rFonts w:eastAsiaTheme="majorEastAsia"/>
      <w:b/>
      <w:spacing w:val="-10"/>
      <w:kern w:val="28"/>
      <w:sz w:val="52"/>
      <w:szCs w:val="52"/>
    </w:rPr>
  </w:style>
  <w:style w:type="character" w:customStyle="1" w:styleId="Kop3Char">
    <w:name w:val="Kop 3 Char"/>
    <w:basedOn w:val="Standaardalinea-lettertype"/>
    <w:link w:val="Kop3"/>
    <w:uiPriority w:val="4"/>
    <w:rPr>
      <w:rFonts w:eastAsiaTheme="majorEastAsia" w:cstheme="majorBidi"/>
      <w:bCs w:val="0"/>
      <w:lang w:val="en-GB"/>
    </w:rPr>
  </w:style>
  <w:style w:type="paragraph" w:styleId="Inhopg1">
    <w:name w:val="toc 1"/>
    <w:aliases w:val="Tur. Inhoudsopg"/>
    <w:basedOn w:val="Standaard"/>
    <w:next w:val="Standaard"/>
    <w:uiPriority w:val="39"/>
    <w:unhideWhenUsed/>
    <w:qFormat/>
    <w:pPr>
      <w:spacing w:before="240" w:after="0" w:line="360" w:lineRule="auto"/>
    </w:pPr>
  </w:style>
  <w:style w:type="paragraph" w:styleId="Voetnoottekst">
    <w:name w:val="footnote text"/>
    <w:basedOn w:val="Standaard"/>
    <w:link w:val="VoetnoottekstChar"/>
    <w:autoRedefine/>
    <w:uiPriority w:val="99"/>
    <w:semiHidden/>
    <w:unhideWhenUsed/>
    <w:pPr>
      <w:spacing w:after="360" w:line="240" w:lineRule="auto"/>
      <w:ind w:firstLine="709"/>
    </w:pPr>
    <w:rPr>
      <w:sz w:val="20"/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Pr>
      <w:bCs w:val="0"/>
      <w:sz w:val="20"/>
      <w:szCs w:val="20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pageBreakBefore w:val="0"/>
      <w:outlineLvl w:val="9"/>
    </w:pPr>
    <w:rPr>
      <w:color w:val="auto"/>
    </w:rPr>
  </w:style>
  <w:style w:type="paragraph" w:styleId="Bibliografie">
    <w:name w:val="Bibliography"/>
    <w:basedOn w:val="Standaard"/>
    <w:uiPriority w:val="37"/>
    <w:unhideWhenUsed/>
    <w:qFormat/>
    <w:pPr>
      <w:spacing w:after="240" w:line="240" w:lineRule="auto"/>
      <w:ind w:left="720" w:hanging="720"/>
    </w:pPr>
  </w:style>
  <w:style w:type="paragraph" w:customStyle="1" w:styleId="TurCitaat">
    <w:name w:val="Tur. Citaat"/>
    <w:basedOn w:val="Turabian"/>
    <w:next w:val="Turabian"/>
    <w:link w:val="TurCitaatChar"/>
    <w:uiPriority w:val="1"/>
    <w:qFormat/>
    <w:pPr>
      <w:spacing w:before="240" w:after="480" w:line="240" w:lineRule="auto"/>
      <w:ind w:left="567" w:firstLine="0"/>
    </w:pPr>
    <w:rPr>
      <w:szCs w:val="20"/>
    </w:rPr>
  </w:style>
  <w:style w:type="character" w:customStyle="1" w:styleId="TurCitaatChar">
    <w:name w:val="Tur. Citaat Char"/>
    <w:basedOn w:val="Standaardalinea-lettertype"/>
    <w:link w:val="TurCitaat"/>
    <w:uiPriority w:val="1"/>
    <w:rPr>
      <w:bCs w:val="0"/>
      <w:szCs w:val="20"/>
    </w:rPr>
  </w:style>
  <w:style w:type="paragraph" w:customStyle="1" w:styleId="TurVoetnoot">
    <w:name w:val="Tur. Voetnoot"/>
    <w:basedOn w:val="Standaard"/>
    <w:link w:val="TurVoetnootChar"/>
    <w:uiPriority w:val="7"/>
    <w:qFormat/>
    <w:pPr>
      <w:spacing w:after="360" w:line="240" w:lineRule="auto"/>
      <w:ind w:firstLine="709"/>
    </w:pPr>
    <w:rPr>
      <w:sz w:val="20"/>
      <w:szCs w:val="20"/>
      <w:lang w:val="en-GB"/>
    </w:rPr>
  </w:style>
  <w:style w:type="character" w:customStyle="1" w:styleId="TurVoetnootChar">
    <w:name w:val="Tur. Voetnoot Char"/>
    <w:basedOn w:val="Standaardalinea-lettertype"/>
    <w:link w:val="TurVoetnoot"/>
    <w:uiPriority w:val="7"/>
    <w:rPr>
      <w:bCs w:val="0"/>
      <w:sz w:val="20"/>
      <w:szCs w:val="20"/>
      <w:lang w:val="en-GB"/>
    </w:rPr>
  </w:style>
  <w:style w:type="paragraph" w:styleId="Inhopg2">
    <w:name w:val="toc 2"/>
    <w:basedOn w:val="Standaard"/>
    <w:next w:val="Standaard"/>
    <w:autoRedefine/>
    <w:uiPriority w:val="39"/>
    <w:unhideWhenUsed/>
    <w:pPr>
      <w:tabs>
        <w:tab w:val="right" w:leader="dot" w:pos="9062"/>
      </w:tabs>
      <w:spacing w:after="100"/>
      <w:ind w:left="240"/>
    </w:pPr>
  </w:style>
  <w:style w:type="paragraph" w:styleId="Voettekst">
    <w:name w:val="footer"/>
    <w:basedOn w:val="Standaard"/>
    <w:link w:val="VoettekstChar"/>
    <w:uiPriority w:val="99"/>
    <w:unhideWhenUsed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Pr>
      <w:bCs w:val="0"/>
    </w:rPr>
  </w:style>
  <w:style w:type="character" w:styleId="Voetnootmarkering">
    <w:name w:val="footnote reference"/>
    <w:basedOn w:val="Standaardalinea-lettertype"/>
    <w:uiPriority w:val="99"/>
    <w:unhideWhenUsed/>
    <w:rPr>
      <w:vertAlign w:val="superscript"/>
    </w:rPr>
  </w:style>
  <w:style w:type="character" w:styleId="Hyperlink">
    <w:name w:val="Hyperlink"/>
    <w:basedOn w:val="Standaardalinea-lettertype"/>
    <w:uiPriority w:val="99"/>
    <w:unhideWhenUsed/>
    <w:rPr>
      <w:color w:val="0563C1" w:themeColor="hyperlink"/>
      <w:u w:val="single"/>
    </w:rPr>
  </w:style>
  <w:style w:type="character" w:styleId="Onopgelostemelding">
    <w:name w:val="Unresolved Mention"/>
    <w:basedOn w:val="Standaardalinea-lettertype"/>
    <w:uiPriority w:val="99"/>
    <w:semiHidden/>
    <w:unhideWhenUsed/>
    <w:rPr>
      <w:color w:val="605E5C"/>
      <w:shd w:val="clear" w:color="auto" w:fill="E1DFDD"/>
    </w:rPr>
  </w:style>
  <w:style w:type="character" w:styleId="GevolgdeHyperlink">
    <w:name w:val="FollowedHyperlink"/>
    <w:basedOn w:val="Standaardalinea-lettertype"/>
    <w:uiPriority w:val="99"/>
    <w:semiHidden/>
    <w:unhideWhenUsed/>
    <w:rPr>
      <w:color w:val="954F72" w:themeColor="followedHyperlink"/>
      <w:u w:val="single"/>
    </w:rPr>
  </w:style>
  <w:style w:type="character" w:styleId="Verwijzingopmerking">
    <w:name w:val="annotation reference"/>
    <w:basedOn w:val="Standaardalinea-lettertype"/>
    <w:uiPriority w:val="99"/>
    <w:semiHidden/>
    <w:unhideWhenUsed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Pr>
      <w:bCs w:val="0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Pr>
      <w:b/>
      <w:bCs/>
      <w:sz w:val="20"/>
      <w:szCs w:val="20"/>
    </w:rPr>
  </w:style>
  <w:style w:type="character" w:customStyle="1" w:styleId="Kop4Char">
    <w:name w:val="Kop 4 Char"/>
    <w:basedOn w:val="Standaardalinea-lettertype"/>
    <w:link w:val="Kop4"/>
    <w:uiPriority w:val="4"/>
    <w:rPr>
      <w:rFonts w:eastAsiaTheme="majorEastAsia" w:cstheme="majorBidi"/>
      <w:bCs w:val="0"/>
      <w:i/>
      <w:iCs/>
      <w:lang w:val="en-GB"/>
    </w:rPr>
  </w:style>
  <w:style w:type="character" w:customStyle="1" w:styleId="Kop5Char">
    <w:name w:val="Kop 5 Char"/>
    <w:basedOn w:val="Standaardalinea-lettertype"/>
    <w:link w:val="Kop5"/>
    <w:uiPriority w:val="4"/>
    <w:rPr>
      <w:rFonts w:eastAsiaTheme="majorEastAsia" w:cstheme="majorBidi"/>
      <w:bCs w:val="0"/>
      <w:lang w:val="en-GB"/>
    </w:rPr>
  </w:style>
  <w:style w:type="character" w:customStyle="1" w:styleId="Kop6Char">
    <w:name w:val="Kop 6 Char"/>
    <w:basedOn w:val="Standaardalinea-lettertype"/>
    <w:link w:val="Kop6"/>
    <w:uiPriority w:val="5"/>
    <w:semiHidden/>
    <w:rPr>
      <w:rFonts w:asciiTheme="majorHAnsi" w:eastAsiaTheme="majorEastAsia" w:hAnsiTheme="majorHAnsi" w:cstheme="majorBidi"/>
      <w:bCs w:val="0"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767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17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537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008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516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1102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5564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53636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50341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668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448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40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467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2162689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48773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802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1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85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50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6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50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35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643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138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65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798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788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8661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85730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4911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089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60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1806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5581063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1823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744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8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5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77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TURABIAN.XSL" StyleName="Turabian" Version="6"/>
</file>

<file path=customXml/itemProps1.xml><?xml version="1.0" encoding="utf-8"?>
<ds:datastoreItem xmlns:ds="http://schemas.openxmlformats.org/officeDocument/2006/customXml" ds:itemID="{6B30B29D-4472-4D4B-BAFA-3718F091CA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3. Turabian Template.</Template>
  <TotalTime>7</TotalTime>
  <Pages>11</Pages>
  <Words>1688</Words>
  <Characters>9286</Characters>
  <Application>Microsoft Office Word</Application>
  <DocSecurity>0</DocSecurity>
  <Lines>77</Lines>
  <Paragraphs>21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Eigenaar</dc:creator>
  <cp:keywords/>
  <dc:description/>
  <cp:lastModifiedBy> </cp:lastModifiedBy>
  <cp:revision>1</cp:revision>
  <dcterms:created xsi:type="dcterms:W3CDTF">2022-10-06T12:52:00Z</dcterms:created>
  <dcterms:modified xsi:type="dcterms:W3CDTF">2022-10-06T12:59:00Z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zotero-version="5.0.93m18"&gt;&lt;session id="jhaDFpEa"/&gt;&lt;style id="http://www.zotero.org/styles/turabian-9th-edition-full-note" hasBibliography="1" bibliographyStyleHasBeenSet="1"/&gt;&lt;prefs&gt;&lt;pref name="citationTransliteration" value=""/&gt;&lt;p</vt:lpwstr>
  </property>
  <property fmtid="{D5CDD505-2E9C-101B-9397-08002B2CF9AE}" pid="3" name="ZOTERO_PREF_2">
    <vt:lpwstr>ref name="citationTranslation" value=""/&gt;&lt;pref name="citationSort" value=""/&gt;&lt;pref name="citationLangPrefsPersons" value="orig"/&gt;&lt;pref name="citationLangPrefsInstitutions" value="orig"/&gt;&lt;pref name="citationLangPrefsTitles" value="orig"/&gt;&lt;pref name="citati</vt:lpwstr>
  </property>
  <property fmtid="{D5CDD505-2E9C-101B-9397-08002B2CF9AE}" pid="4" name="ZOTERO_PREF_3">
    <vt:lpwstr>onLangPrefsJournals" value="orig"/&gt;&lt;pref name="citationLangPrefsPublishers" value="orig"/&gt;&lt;pref name="citationLangPrefsPlaces" value="orig"/&gt;&lt;pref name="citationAffixes" value="|||||||||||||||||||||||||||||||||||||||||||||||"/&gt;&lt;pref name="extractingLibrar</vt:lpwstr>
  </property>
  <property fmtid="{D5CDD505-2E9C-101B-9397-08002B2CF9AE}" pid="5" name="ZOTERO_PREF_4">
    <vt:lpwstr>yName" value="No group selected"/&gt;&lt;pref name="fieldType" value="Field"/&gt;&lt;pref name="noteType" value="1"/&gt;&lt;/prefs&gt;&lt;/data&gt;</vt:lpwstr>
  </property>
</Properties>
</file>