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nobody outside the provider knows the figure.</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twenty-seven errors in the log passed every check that existed when it was made, and that will remain true on the next incident.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4">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5">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6">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7">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8">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39">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0">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1">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2">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3">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4">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5">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6">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7">
        <w:r>
          <w:rPr>
            <w:rStyle w:val="Hyperlink"/>
          </w:rPr>
          <w:t xml:space="preserve">https://collusion.wiki/</w:t>
        </w:r>
      </w:hyperlink>
      <w:r>
        <w:t xml:space="preserve"> </w:t>
      </w:r>
      <w:r>
        <w:t xml:space="preserve">(Accessed: 11 September 2026). Archived at:</w:t>
      </w:r>
      <w:r>
        <w:t xml:space="preserve"> </w:t>
      </w:r>
      <w:hyperlink r:id="rId48">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49" w:name="Xd30e20a051985fc8e754502360db59eb120ca9e"/>
      <w:r>
        <w:t xml:space="preserve">Appendix A: Limitations and dual-use considerations</w:t>
      </w:r>
      <w:r>
        <w:t xml:space="preserve"> </w:t>
      </w:r>
      <w:r>
        <w:rPr>
          <w:i/>
        </w:rPr>
        <w:t xml:space="preserve">(required)</w:t>
      </w:r>
      <w:bookmarkEnd w:id="49"/>
    </w:p>
    <w:p>
      <w:pPr>
        <w:pStyle w:val="Heading3"/>
      </w:pPr>
      <w:bookmarkStart w:id="50" w:name="a1-what-this-cannot-establish"/>
      <w:r>
        <w:t xml:space="preserve">A.1 What this cannot establish</w:t>
      </w:r>
      <w:bookmarkEnd w:id="50"/>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1" w:name="a2-access-asymmetry"/>
      <w:r>
        <w:t xml:space="preserve">A.2 Access asymmetry</w:t>
      </w:r>
      <w:bookmarkEnd w:id="51"/>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2" w:name="Xe9b575d18f7190753dea57c3b0b08ecacf791fc"/>
      <w:r>
        <w:t xml:space="preserve">A.3 Dual use: aggregation rather than disclosure</w:t>
      </w:r>
      <w:bookmarkEnd w:id="52"/>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3" w:name="a4-dual-use-the-instrument"/>
      <w:r>
        <w:t xml:space="preserve">A.4 Dual use: the instrument</w:t>
      </w:r>
      <w:bookmarkEnd w:id="53"/>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4" w:name="a5-dual-use-the-scope-analysis"/>
      <w:r>
        <w:t xml:space="preserve">A.5 Dual use: the scope analysis</w:t>
      </w:r>
      <w:bookmarkEnd w:id="54"/>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5" w:name="a6-even-handedness"/>
      <w:r>
        <w:t xml:space="preserve">A.6 Even-handedness</w:t>
      </w:r>
      <w:bookmarkEnd w:id="55"/>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6" w:name="X513b2a492d4a07e874122f31255f7fe93a9508e"/>
      <w:r>
        <w:t xml:space="preserve">Appendix B: Comparative table, three regimes</w:t>
      </w:r>
      <w:bookmarkEnd w:id="56"/>
    </w:p>
    <w:p>
      <w:pPr>
        <w:pStyle w:val="FirstParagraph"/>
      </w:pPr>
      <w:r>
        <w:t xml:space="preserve">See the accompanying comparative appendix: thresholds, definitional gates, the three clocks and their triggers, and enforceable self-commitments.</w:t>
      </w:r>
    </w:p>
    <w:p>
      <w:pPr>
        <w:pStyle w:val="Heading2"/>
      </w:pPr>
      <w:bookmarkStart w:id="57" w:name="appendix-c-llm-usage-disclosure"/>
      <w:r>
        <w:t xml:space="preserve">Appendix C: LLM usage disclosure</w:t>
      </w:r>
      <w:bookmarkEnd w:id="57"/>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58" w:name="appendix-d-author-contributions"/>
      <w:r>
        <w:t xml:space="preserve">Appendix D: Author contributions</w:t>
      </w:r>
      <w:bookmarkEnd w:id="58"/>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59" w:name="appendix-e-artifact"/>
      <w:r>
        <w:t xml:space="preserve">Appendix E: Artifact</w:t>
      </w:r>
      <w:bookmarkEnd w:id="59"/>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0" w:name="X6600875308730139880dbac9b1615afef6cde9b"/>
      <w:r>
        <w:t xml:space="preserve">Appendix F: the Commission’s serious-incident template, filled from the public record</w:t>
      </w:r>
      <w:bookmarkEnd w:id="60"/>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1" w:name="Xb09854c37ac5b84144064c0a1b18c4ef201ec68"/>
      <w:r>
        <w:t xml:space="preserve">Appendix G: notes on sourcing, the register, and bounded absences</w:t>
      </w:r>
      <w:bookmarkEnd w:id="61"/>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2" w:name="X09d5e2bfdb67fe9ae4669d2f79f1834b11b30a3"/>
      <w:r>
        <w:t xml:space="preserve">Appendix H: the method, the corrections log, and what transfers</w:t>
      </w:r>
      <w:bookmarkEnd w:id="62"/>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twenty-seven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ata.europa.eu/eli/dir/2022/2557/oj" TargetMode="External" /><Relationship Type="http://schemas.openxmlformats.org/officeDocument/2006/relationships/hyperlink" Id="rId45" Target="http://data.europa.eu/eli/reg/2024/1689/oj" TargetMode="External" /><Relationship Type="http://schemas.openxmlformats.org/officeDocument/2006/relationships/hyperlink" Id="rId46" Target="https://cloudsecurityalliance.org/artifacts/every-frontier-model-cheated-what-aisi-s-findings-mean-for-trust" TargetMode="External" /><Relationship Type="http://schemas.openxmlformats.org/officeDocument/2006/relationships/hyperlink" Id="rId47" Target="https://collusion.wiki/" TargetMode="External" /><Relationship Type="http://schemas.openxmlformats.org/officeDocument/2006/relationships/hyperlink" Id="rId38" Target="https://digital-strategy.ec.europa.eu/en/faqs/general-purpose-ai-models-ai-act-questions-answers" TargetMode="External" /><Relationship Type="http://schemas.openxmlformats.org/officeDocument/2006/relationships/hyperlink" Id="rId40" Target="https://huggingface.co/blog/agent-intrusion-technical-timeline" TargetMode="External" /><Relationship Type="http://schemas.openxmlformats.org/officeDocument/2006/relationships/hyperlink" Id="rId36" Target="https://labs.cloudsecurityalliance.org/research/csa-research-note-ai-incident-disclosure-gap-eu-ai-act-20260/" TargetMode="External" /><Relationship Type="http://schemas.openxmlformats.org/officeDocument/2006/relationships/hyperlink" Id="rId35" Target="https://leginfo.legislature.ca.gov/faces/billTextClient.xhtml?bill_id=202520260SB53" TargetMode="External" /><Relationship Type="http://schemas.openxmlformats.org/officeDocument/2006/relationships/hyperlink" Id="rId41" Target="https://metr.org/blog/2026-08-26-openai-hugging-face-incident-investigation/" TargetMode="External" /><Relationship Type="http://schemas.openxmlformats.org/officeDocument/2006/relationships/hyperlink" Id="rId43" Target="https://openai.com/index/hugging-face-incident-and-the-road-ahead/" TargetMode="External" /><Relationship Type="http://schemas.openxmlformats.org/officeDocument/2006/relationships/hyperlink" Id="rId42" Target="https://openai.com/index/hugging-face-model-evaluation-security-incident/" TargetMode="External" /><Relationship Type="http://schemas.openxmlformats.org/officeDocument/2006/relationships/hyperlink" Id="rId44" Target="https://techcrunch.com/2026/09/05/openai-confirms-wiki-incident-says-its-working-on-a-framework-for-more-disclosure/" TargetMode="External" /><Relationship Type="http://schemas.openxmlformats.org/officeDocument/2006/relationships/hyperlink" Id="rId48" Target="https://web.archive.org/web/20260912133451/https://collusion.wiki/" TargetMode="External" /><Relationship Type="http://schemas.openxmlformats.org/officeDocument/2006/relationships/hyperlink" Id="rId34" Target="https://www.anthropic.com/research/investigating-incidents-cybersecurity-evals" TargetMode="External" /><Relationship Type="http://schemas.openxmlformats.org/officeDocument/2006/relationships/hyperlink" Id="rId39"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7" Target="http://data.europa.eu/eli/dir/2022/2557/oj" TargetMode="External" /><Relationship Type="http://schemas.openxmlformats.org/officeDocument/2006/relationships/hyperlink" Id="rId45" Target="http://data.europa.eu/eli/reg/2024/1689/oj" TargetMode="External" /><Relationship Type="http://schemas.openxmlformats.org/officeDocument/2006/relationships/hyperlink" Id="rId46" Target="https://cloudsecurityalliance.org/artifacts/every-frontier-model-cheated-what-aisi-s-findings-mean-for-trust" TargetMode="External" /><Relationship Type="http://schemas.openxmlformats.org/officeDocument/2006/relationships/hyperlink" Id="rId47" Target="https://collusion.wiki/" TargetMode="External" /><Relationship Type="http://schemas.openxmlformats.org/officeDocument/2006/relationships/hyperlink" Id="rId38" Target="https://digital-strategy.ec.europa.eu/en/faqs/general-purpose-ai-models-ai-act-questions-answers" TargetMode="External" /><Relationship Type="http://schemas.openxmlformats.org/officeDocument/2006/relationships/hyperlink" Id="rId40" Target="https://huggingface.co/blog/agent-intrusion-technical-timeline" TargetMode="External" /><Relationship Type="http://schemas.openxmlformats.org/officeDocument/2006/relationships/hyperlink" Id="rId36" Target="https://labs.cloudsecurityalliance.org/research/csa-research-note-ai-incident-disclosure-gap-eu-ai-act-20260/" TargetMode="External" /><Relationship Type="http://schemas.openxmlformats.org/officeDocument/2006/relationships/hyperlink" Id="rId35" Target="https://leginfo.legislature.ca.gov/faces/billTextClient.xhtml?bill_id=202520260SB53" TargetMode="External" /><Relationship Type="http://schemas.openxmlformats.org/officeDocument/2006/relationships/hyperlink" Id="rId41" Target="https://metr.org/blog/2026-08-26-openai-hugging-face-incident-investigation/" TargetMode="External" /><Relationship Type="http://schemas.openxmlformats.org/officeDocument/2006/relationships/hyperlink" Id="rId43" Target="https://openai.com/index/hugging-face-incident-and-the-road-ahead/" TargetMode="External" /><Relationship Type="http://schemas.openxmlformats.org/officeDocument/2006/relationships/hyperlink" Id="rId42" Target="https://openai.com/index/hugging-face-model-evaluation-security-incident/" TargetMode="External" /><Relationship Type="http://schemas.openxmlformats.org/officeDocument/2006/relationships/hyperlink" Id="rId44" Target="https://techcrunch.com/2026/09/05/openai-confirms-wiki-incident-says-its-working-on-a-framework-for-more-disclosure/" TargetMode="External" /><Relationship Type="http://schemas.openxmlformats.org/officeDocument/2006/relationships/hyperlink" Id="rId48" Target="https://web.archive.org/web/20260912133451/https://collusion.wiki/" TargetMode="External" /><Relationship Type="http://schemas.openxmlformats.org/officeDocument/2006/relationships/hyperlink" Id="rId34" Target="https://www.anthropic.com/research/investigating-incidents-cybersecurity-evals" TargetMode="External" /><Relationship Type="http://schemas.openxmlformats.org/officeDocument/2006/relationships/hyperlink" Id="rId39"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