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issuing note</w:t>
      </w:r>
    </w:p>
    <w:p>
      <w:pPr>
        <w:pStyle w:val="Heading1"/>
      </w:pPr>
      <w:bookmarkStart w:id="20" w:name="X43ea583cefda0298619c3f300a6e8b1203df52f"/>
      <w:r>
        <w:t xml:space="preserve">Issuing note to accompany the model Article 91 request</w:t>
      </w:r>
      <w:bookmarkEnd w:id="20"/>
    </w:p>
    <w:p>
      <w:pPr>
        <w:pStyle w:val="FirstParagraph"/>
      </w:pPr>
      <w:r>
        <w:rPr>
          <w:i/>
        </w:rPr>
        <w:t xml:space="preserve">For the AI Office, not for the addressee. This note carries the reasoning that an earlier draft of the request placed in its operative text—why each request is asked, what a responsive answer looks like, and what would leave the question open. It was taken out of the request because a request that pre-grades answers reads as prejudgment, and because Article 91(4) asks for a legal basis, a purpose, a specification, a period and an indication of fines, not for the issuing authority’s reasoning. Prepared by an external researcher; not a document of any Union body.</w:t>
      </w:r>
    </w:p>
    <w:p>
      <w:pPr>
        <w:pStyle w:val="Heading2"/>
      </w:pPr>
      <w:bookmarkStart w:id="21" w:name="X75a6c8d15d9cc18a0202636a31d71996b4c2a79"/>
      <w:r>
        <w:t xml:space="preserve">1. Why the request is issued in the Commission’s name</w:t>
      </w:r>
      <w:bookmarkEnd w:id="21"/>
    </w:p>
    <w:p>
      <w:pPr>
        <w:pStyle w:val="FirstParagraph"/>
      </w:pPr>
      <w:r>
        <w:rPr>
          <w:b/>
        </w:rPr>
        <w:t xml:space="preserve">Note on the issuing authority.</w:t>
      </w:r>
      <w:r>
        <w:t xml:space="preserve"> </w:t>
      </w:r>
      <w:r>
        <w:t xml:space="preserve">Article 91(1) and (3) confer the power on</w:t>
      </w:r>
      <w:r>
        <w:t xml:space="preserve"> </w:t>
      </w:r>
      <w:r>
        <w:rPr>
          <w:b/>
        </w:rPr>
        <w:t xml:space="preserve">the Commission</w:t>
      </w:r>
      <w:r>
        <w:t xml:space="preserve">. Article 3, point (47) defines the AI Office as “the Commission’s function”; it is not a legal person and cannot issue a request for information in its own name. Article 91(2), structured dialogue, is expressed as the AI Office’s. This draft is accordingly framed as a Commission instrument, with the AI Office referred to only where the Regulation places a function there.</w:t>
      </w:r>
    </w:p>
    <w:p>
      <w:pPr>
        <w:pStyle w:val="Heading2"/>
      </w:pPr>
      <w:bookmarkStart w:id="22" w:name="X0a1d2b03c5758e3ea5b3ebc6e017c701713c36c"/>
      <w:r>
        <w:t xml:space="preserve">2. Notes on individual requests</w:t>
      </w:r>
      <w:bookmarkEnd w:id="22"/>
    </w:p>
    <w:p>
      <w:pPr>
        <w:pStyle w:val="FirstParagraph"/>
      </w:pPr>
      <w:r>
        <w:rPr>
          <w:b/>
        </w:rPr>
        <w:t xml:space="preserve">Governing note, formerly at the head of Part D.</w:t>
      </w:r>
      <w:r>
        <w:t xml:space="preserve"> </w:t>
      </w:r>
      <w:r>
        <w:t xml:space="preserve">Each request identifies the provision to which it relates and states what would be regarded as a responsive answer. Where the Provider considers a request founded on a mistaken premise, it is invited to say so and explain why, rather than to decline.</w:t>
      </w:r>
    </w:p>
    <w:p>
      <w:pPr>
        <w:pStyle w:val="BodyText"/>
      </w:pPr>
      <w:r>
        <w:rPr>
          <w:b/>
        </w:rPr>
        <w:t xml:space="preserve">Requests 2b to 5.</w:t>
      </w:r>
      <w:r>
        <w:t xml:space="preserve"> </w:t>
      </w:r>
      <w:r>
        <w:t xml:space="preserve">A responsive answer consists of the lineage and intention facts at Request 2b with dates; the Provider’s reasoned position on scope; the location facts at Request 4a; and either the notification with its date or the basis on which none was required. A position that the model was internal, unreleased or not intended for production</w:t>
      </w:r>
      <w:r>
        <w:t xml:space="preserve"> </w:t>
      </w:r>
      <w:r>
        <w:rPr>
          <w:b/>
        </w:rPr>
        <w:t xml:space="preserve">is</w:t>
      </w:r>
      <w:r>
        <w:t xml:space="preserve"> </w:t>
      </w:r>
      <w:r>
        <w:t xml:space="preserve">a substantive answer to Requests 3 and 4 and is invited; the Commission asks that it be given with reasons and dates rather than as a description, since the public record already contains the description.</w:t>
      </w:r>
    </w:p>
    <w:p>
      <w:pPr>
        <w:pStyle w:val="BodyText"/>
      </w:pPr>
      <w:r>
        <w:rPr>
          <w:b/>
        </w:rPr>
        <w:t xml:space="preserve">Request 8.</w:t>
      </w:r>
      <w:r>
        <w:t xml:space="preserve"> </w:t>
      </w:r>
      <w:r>
        <w:t xml:space="preserve">Article 55(1), point (b) extends expressly to risks stemming from “the development” of general-purpose AI models with systemic risk. This request is directed to that limb and does not depend on the scope questions at Section I.</w:t>
      </w:r>
    </w:p>
    <w:p>
      <w:pPr>
        <w:pStyle w:val="BodyText"/>
      </w:pPr>
      <w:r>
        <w:rPr>
          <w:b/>
        </w:rPr>
        <w:t xml:space="preserve">Request 11a.</w:t>
      </w:r>
      <w:r>
        <w:t xml:space="preserve"> </w:t>
      </w:r>
      <w:r>
        <w:t xml:space="preserve">A responsive answer is a date and the contemporaneous record. Publicly observable indicators of the Provider’s attention to the episode at paragraph 4(b), including access to the affected wiki from IP ranges attributed to the Provider from 21 June 2026, do not establish when the Provider formed the relevant view. That is the matter on which the Provider’s own record is required.</w:t>
      </w:r>
    </w:p>
    <w:p>
      <w:pPr>
        <w:pStyle w:val="BodyText"/>
      </w:pPr>
      <w:r>
        <w:rPr>
          <w:b/>
        </w:rPr>
        <w:t xml:space="preserve">Request 11b.</w:t>
      </w:r>
      <w:r>
        <w:t xml:space="preserve"> </w:t>
      </w:r>
      <w:r>
        <w:t xml:space="preserve">A responsive answer is the route relied on and the reasoning, whichever route that is. A statement that the episode was handled under an internal security process is not responsive: the question is what view the Provider took of Article 55(1), point (c), not what process it used. This request is put separately from Request 11 because the guidelines’ first route does not pass through Article 3, point (49) at all, and a Provider answering only the Article 3, point (49) question could answer it accurately and leave the operative question untouched.</w:t>
      </w:r>
    </w:p>
    <w:p>
      <w:pPr>
        <w:pStyle w:val="BodyText"/>
      </w:pPr>
      <w:r>
        <w:rPr>
          <w:b/>
        </w:rPr>
        <w:t xml:space="preserve">Request 11c.</w:t>
      </w:r>
      <w:r>
        <w:t xml:space="preserve"> </w:t>
      </w:r>
      <w:r>
        <w:t xml:space="preserve">A responsive answer is, for each system, a classification and, where applicable, a report and its date. The purpose is not duplication. Article 75(1) makes the AI Office exclusively competent for systems where the model and the system belong to the same undertaking, and Article 75(1a) applies Article 73(2) to (9) to their serious incidents; Article 55(1), point (c) reaches the same body by a different route with a different period and a different form. Where both could apply to one episode the Commission needs to know which was used, and where only the model regime applies it needs to know that too. This request is confined to what is necessary for assessing the Provider’s compliance as a provider of general-purpose AI models under Article 91(1); supervision of the systems themselves is exercised under Article 75a(1), and any request directed to a system will be made separately under that provision.</w:t>
      </w:r>
    </w:p>
    <w:p>
      <w:pPr>
        <w:pStyle w:val="BodyText"/>
      </w:pPr>
      <w:r>
        <w:rPr>
          <w:b/>
        </w:rPr>
        <w:t xml:space="preserve">Request 2b.</w:t>
      </w:r>
      <w:r>
        <w:t xml:space="preserve"> </w:t>
      </w:r>
      <w:r>
        <w:t xml:space="preserve">This request is made because the Commission’s guidelines at paragraph 22 treat development downstream of one large pre-training run as one model’s lifecycle, and because the Commission’s published position is that certain obligations pertain to the development phase of models intended for, but prior to, the placing on the market.</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A responsive answer consists of</w:t>
            </w:r>
          </w:p>
        </w:tc>
        <w:tc>
          <w:tcPr>
            <w:tcBorders>
              <w:bottom w:val="single"/>
            </w:tcBorders>
            <w:vAlign w:val="bottom"/>
          </w:tcPr>
          <w:p>
            <w:pPr>
              <w:pStyle w:val="Compact"/>
              <w:jc w:val="left"/>
            </w:pPr>
            <w:r>
              <w:t xml:space="preserve">What would</w:t>
            </w:r>
            <w:r>
              <w:t xml:space="preserve"> </w:t>
            </w:r>
            <w:r>
              <w:rPr>
                <w:b/>
              </w:rPr>
              <w:t xml:space="preserve">not</w:t>
            </w:r>
            <w:r>
              <w:t xml:space="preserve"> </w:t>
            </w:r>
            <w:r>
              <w:t xml:space="preserve">settle it</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3" w:name="Xd53fbcd321a0d6c3523677078f68e54fe2c688a"/>
      <w:r>
        <w:t xml:space="preserve">3. What each request is for, and what would not answer it</w:t>
      </w:r>
      <w:bookmarkEnd w:id="23"/>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What the AI Office needs from it</w:t>
            </w:r>
          </w:p>
        </w:tc>
        <w:tc>
          <w:tcPr>
            <w:tcBorders>
              <w:bottom w:val="single"/>
            </w:tcBorders>
            <w:vAlign w:val="bottom"/>
          </w:tcPr>
          <w:p>
            <w:pPr>
              <w:pStyle w:val="Compact"/>
              <w:jc w:val="left"/>
            </w:pPr>
            <w:r>
              <w:t xml:space="preserve">What would leave the question open</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4" w:name="X4c8e34ec63e3692486b1ce07fe86a5bc2d0c8c3"/>
      <w:r>
        <w:t xml:space="preserve">4. Service</w:t>
      </w:r>
      <w:bookmarkEnd w:id="24"/>
    </w:p>
    <w:p>
      <w:pPr>
        <w:pStyle w:val="FirstParagraph"/>
      </w:pPr>
      <w:r>
        <w:t xml:space="preserve">Article 54(1) requires a provider established in a third country to appoint, by written mandate, an authorised representative established in the Union before placing a general-purpose AI model on the Union market. The request is addressed to the Provider and served on that representative as well, and Request 4a asks whether and when one was appointed in respect of the Research Model or its lineage. The date answers a question of its own: an appointment made before the Evaluation is the Provider’s own contemporaneous view that a model of that lineage was headed for the Union market.</w:t>
      </w:r>
    </w:p>
    <w:p>
      <w:pPr>
        <w:pStyle w:val="Heading2"/>
      </w:pPr>
      <w:bookmarkStart w:id="25" w:name="Xfee2cc169e16253fdc9df9942fba966a1a114cc"/>
      <w:r>
        <w:t xml:space="preserve">5. After the answers</w:t>
      </w:r>
      <w:bookmarkEnd w:id="25"/>
    </w:p>
    <w:p>
      <w:pPr>
        <w:pStyle w:val="FirstParagraph"/>
      </w:pPr>
      <w:r>
        <w:rPr>
          <w:rStyle w:val="VerbatimChar"/>
        </w:rPr>
        <w:t xml:space="preserve">answer-matrix.md</w:t>
      </w:r>
      <w:r>
        <w:t xml:space="preserve"> </w:t>
      </w:r>
      <w:r>
        <w:t xml:space="preserve">sets out, for each answer the Provider can give to Requests 2, 2b and 4a, where it puts the model and what the Commission does next. The request and this note are drafted so that the matrix can be read straight off the response.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issuing note</dc:title>
  <dc:creator/>
  <cp:keywords/>
  <dcterms:created xsi:type="dcterms:W3CDTF">2026-09-13T13:46:29Z</dcterms:created>
  <dcterms:modified xsi:type="dcterms:W3CDTF">2026-09-13T13:46:29Z</dcterms:modified>
</cp:coreProperties>
</file>

<file path=docProps/custom.xml><?xml version="1.0" encoding="utf-8"?>
<Properties xmlns="http://schemas.openxmlformats.org/officeDocument/2006/custom-properties" xmlns:vt="http://schemas.openxmlformats.org/officeDocument/2006/docPropsVTypes"/>
</file>