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(as of 13 September 2026, across the six incident-record documents held here; Appendix G tables the corpus and the terms).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The power is already in use, and on this ground.</w:t>
      </w:r>
      <w:r>
        <w:t xml:space="preserve"> </w:t>
      </w:r>
      <w:r>
        <w:t xml:space="preserve">On 1 September 2026 the Commission stated that the AI Office had sent its first requests for information to more than 30 providers; they come, the reporting agency records, “after several incidents involving AI models that occurred this summer”, and its spokesperson described two strands, the first of which “concerns safety and security, notably the use of and the most advanced AI models” (Agence Europe, 2026). Article 91 is therefore not a route proposed here in the abstract: it is the instrument the AI Office reached for first, on this subject, weeks after the episodes analysed in this report.</w:t>
      </w:r>
    </w:p>
    <w:p>
      <w:pPr>
        <w:pStyle w:val="BodyText"/>
      </w:pPr>
      <w:r>
        <w:t xml:space="preserve">What the attached request adds is specificity. On the only public account of what those requests ask—how providers prevent their models being stolen, how much access external evaluators get, how usage is monitored once a model is public (Uuk, 2026, relaying Euractiv)—none of the three reaches the question this analysis turns on, which is whether the model was ever integrated into an own AI system put into service. A request written across thirty providers cannot ask that. An incident-specific one can, and it is the first thing this one asks.</w:t>
      </w:r>
    </w:p>
    <w:p>
      <w:pPr>
        <w:pStyle w:val="BodyText"/>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 public source gives the figure (as of 13 September 2026; corpus at Appendix G).</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BodyText"/>
      </w:pPr>
      <w:r>
        <w:rPr>
          <w:b/>
        </w:rPr>
        <w:t xml:space="preserve">Whose obligation this is, and what changes if a provider has not signed.</w:t>
      </w:r>
      <w:r>
        <w:t xml:space="preserve"> </w:t>
      </w:r>
      <w:r>
        <w:t xml:space="preserve">The Code binds Signatories, and this provider is recorded as a full signatory to all chapters without limitation—in a third-party registry and in the Commission’s own Vademecum of the GPAI Signatory Taskforce, whose list of participating signatories is the primary of the two. Two things follow and a third does not. Measure 9.3’s periods run against this provider, and Article 55(2)’s first branch applies, so the artefacts the Code requires should exist. A provider that had not signed would be in the same position on</w:t>
      </w:r>
      <w:r>
        <w:t xml:space="preserve"> </w:t>
      </w:r>
      <w:r>
        <w:rPr>
          <w:b/>
        </w:rPr>
        <w:t xml:space="preserve">what</w:t>
      </w:r>
      <w:r>
        <w:t xml:space="preserve"> </w:t>
      </w:r>
      <w:r>
        <w:t xml:space="preserve">must be reported and a different one on</w:t>
      </w:r>
      <w:r>
        <w:t xml:space="preserve"> </w:t>
      </w:r>
      <w:r>
        <w:rPr>
          <w:b/>
        </w:rPr>
        <w:t xml:space="preserve">when</w:t>
      </w:r>
      <w:r>
        <w:t xml:space="preserve">: Article 55(1), point (c) would give it “without undue delay” and no period at all, while the Guidelines at ¶100 would still bring a serious cybersecurity breach inside the obligation, that being a reading of the Act rather than of the Code. Whether Opinion ¶33 reaches a non-signatory is genuinely open, since the Commission there describes what the statutory phrase “typically requires” rather than what the Code asks of those who sign it. This report does not resolve that, and the instrument is drafted not to need it: Request 11a is conditioned on adherence and Request 12 asks which branch of Article 55(2) the Provider relies on.</w:t>
      </w:r>
    </w:p>
    <w:p>
      <w:pPr>
        <w:pStyle w:val="BodyText"/>
      </w:pPr>
      <w:r>
        <w:rPr>
          <w:b/>
        </w:rPr>
        <w:t xml:space="preserve">And the point generalises, which matters more than this incident.</w:t>
      </w:r>
      <w:r>
        <w:t xml:space="preserve"> </w:t>
      </w:r>
      <w:r>
        <w:t xml:space="preserve">A run of this method against a provider that has not signed—xAI adheres to the Safety and Security chapter alone; Meta and DeepSeek are absent from the list—loses every determinate period and keeps every other row. The timing finding is the one part of this analysis that is signatory-dependent, and a second run should expect to say so in its first paragraph.</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twenty-eight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Agence Europe (2026) ‘European Commission sends first requests for information to more than 30 AI providers’,</w:t>
      </w:r>
      <w:r>
        <w:t xml:space="preserve"> </w:t>
      </w:r>
      <w:r>
        <w:rPr>
          <w:i/>
        </w:rPr>
        <w:t xml:space="preserve">Europe Daily Bulletin</w:t>
      </w:r>
      <w:r>
        <w:t xml:space="preserve">, No. 13929, 3 September. Available at:</w:t>
      </w:r>
      <w:r>
        <w:t xml:space="preserve"> </w:t>
      </w:r>
      <w:hyperlink r:id="rId34">
        <w:r>
          <w:rPr>
            <w:rStyle w:val="Hyperlink"/>
          </w:rPr>
          <w:t xml:space="preserve">https://agenceurope.eu/en/bulletin/article/13929/31/european-commission-sends-first-requests-for-information-to-more-than-30-ai-providers</w:t>
        </w:r>
      </w:hyperlink>
      <w:r>
        <w:t xml:space="preserve"> </w:t>
      </w:r>
      <w:r>
        <w:t xml:space="preserve">(Accessed: 13 September 2026).</w:t>
      </w:r>
    </w:p>
    <w:p>
      <w:pPr>
        <w:pStyle w:val="BodyText"/>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5">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6">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7">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8">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9">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40">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1">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2">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3">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4">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5">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6">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7">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Uuk, R. (2026) ‘The EU AI Act Newsletter #110: Powers in Practice’, 8 September. Future of Life Institute. Available at:</w:t>
      </w:r>
      <w:r>
        <w:t xml:space="preserve"> </w:t>
      </w:r>
      <w:hyperlink r:id="rId48">
        <w:r>
          <w:rPr>
            <w:rStyle w:val="Hyperlink"/>
          </w:rPr>
          <w:t xml:space="preserve">https://artificialintelligenceact.substack.com/p/the-eu-ai-act-newsletter-110-powers</w:t>
        </w:r>
      </w:hyperlink>
      <w:r>
        <w:t xml:space="preserve"> </w:t>
      </w:r>
      <w:r>
        <w:t xml:space="preserve">(Accessed: 13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9">
        <w:r>
          <w:rPr>
            <w:rStyle w:val="Hyperlink"/>
          </w:rPr>
          <w:t xml:space="preserve">https://collusion.wiki/</w:t>
        </w:r>
      </w:hyperlink>
      <w:r>
        <w:t xml:space="preserve"> </w:t>
      </w:r>
      <w:r>
        <w:t xml:space="preserve">(Accessed: 11 September 2026). Archived at:</w:t>
      </w:r>
      <w:r>
        <w:t xml:space="preserve"> </w:t>
      </w:r>
      <w:hyperlink r:id="rId50">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51" w:name="Xd30e20a051985fc8e754502360db59eb120ca9e"/>
      <w:r>
        <w:t xml:space="preserve">Appendix A: Limitations and dual-use considerations</w:t>
      </w:r>
      <w:r>
        <w:t xml:space="preserve"> </w:t>
      </w:r>
      <w:r>
        <w:rPr>
          <w:i/>
        </w:rPr>
        <w:t xml:space="preserve">(required)</w:t>
      </w:r>
      <w:bookmarkEnd w:id="51"/>
    </w:p>
    <w:p>
      <w:pPr>
        <w:pStyle w:val="Heading3"/>
      </w:pPr>
      <w:bookmarkStart w:id="52" w:name="a1-what-this-cannot-establish"/>
      <w:r>
        <w:t xml:space="preserve">A.1 What this cannot establish</w:t>
      </w:r>
      <w:bookmarkEnd w:id="52"/>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3" w:name="a2-access-asymmetry"/>
      <w:r>
        <w:t xml:space="preserve">A.2 Access asymmetry</w:t>
      </w:r>
      <w:bookmarkEnd w:id="53"/>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4" w:name="Xe9b575d18f7190753dea57c3b0b08ecacf791fc"/>
      <w:r>
        <w:t xml:space="preserve">A.3 Dual use: aggregation rather than disclosure</w:t>
      </w:r>
      <w:bookmarkEnd w:id="54"/>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5" w:name="a4-dual-use-the-instrument"/>
      <w:r>
        <w:t xml:space="preserve">A.4 Dual use: the instrument</w:t>
      </w:r>
      <w:bookmarkEnd w:id="55"/>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6" w:name="a5-dual-use-the-scope-analysis"/>
      <w:r>
        <w:t xml:space="preserve">A.5 Dual use: the scope analysis</w:t>
      </w:r>
      <w:bookmarkEnd w:id="56"/>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7" w:name="a6-even-handedness"/>
      <w:r>
        <w:t xml:space="preserve">A.6 Even-handedness</w:t>
      </w:r>
      <w:bookmarkEnd w:id="57"/>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8" w:name="X513b2a492d4a07e874122f31255f7fe93a9508e"/>
      <w:r>
        <w:t xml:space="preserve">Appendix B: Comparative table, three regimes</w:t>
      </w:r>
      <w:bookmarkEnd w:id="58"/>
    </w:p>
    <w:p>
      <w:pPr>
        <w:pStyle w:val="FirstParagraph"/>
      </w:pPr>
      <w:r>
        <w:t xml:space="preserve">See the accompanying comparative appendix: thresholds, definitional gates, the three clocks and their triggers, and enforceable self-commitments.</w:t>
      </w:r>
    </w:p>
    <w:p>
      <w:pPr>
        <w:pStyle w:val="Heading2"/>
      </w:pPr>
      <w:bookmarkStart w:id="59" w:name="appendix-c-llm-usage-disclosure"/>
      <w:r>
        <w:t xml:space="preserve">Appendix C: LLM usage disclosure</w:t>
      </w:r>
      <w:bookmarkEnd w:id="59"/>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60" w:name="appendix-d-author-contributions"/>
      <w:r>
        <w:t xml:space="preserve">Appendix D: Author contributions</w:t>
      </w:r>
      <w:bookmarkEnd w:id="60"/>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61" w:name="appendix-e-artifact"/>
      <w:r>
        <w:t xml:space="preserve">Appendix E: Artifact</w:t>
      </w:r>
      <w:bookmarkEnd w:id="61"/>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2" w:name="X6600875308730139880dbac9b1615afef6cde9b"/>
      <w:r>
        <w:t xml:space="preserve">Appendix F: the Commission’s serious-incident template, filled from the public record</w:t>
      </w:r>
      <w:bookmarkEnd w:id="62"/>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3" w:name="Xb09854c37ac5b84144064c0a1b18c4ef201ec68"/>
      <w:r>
        <w:t xml:space="preserve">Appendix G: notes on sourcing, the register, and bounded absences</w:t>
      </w:r>
      <w:bookmarkEnd w:id="63"/>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4" w:name="X09d5e2bfdb67fe9ae4669d2f79f1834b11b30a3"/>
      <w:r>
        <w:t xml:space="preserve">Appendix H: the method, the corrections log, and what transfers</w:t>
      </w:r>
      <w:bookmarkEnd w:id="64"/>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twenty-eight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