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The power is in use, and this is its incident-specific counterpart.</w:t>
      </w:r>
      <w:r>
        <w:t xml:space="preserve"> </w:t>
      </w:r>
      <w:r>
        <w:t xml:space="preserve">On 1 September 2026 the Commission stated that the AI Office had sent its first requests for information to more than 30 providers; they come “after several incidents involving AI models that occurred this summer”, the first strand concerning “safety and security” (Agence Europe, 3 September 2026). On the only public account of what those requests ask—model-theft prevention, evaluator access, post-deployment monitoring—none reaches the placement question above, which a request written across thirty providers could not ask.</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twenty-eight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